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FBAB43" w14:textId="66F8A502" w:rsidR="00F40F74" w:rsidRPr="008D7C4F" w:rsidRDefault="00F40F74" w:rsidP="00F40F74">
      <w:pPr>
        <w:pStyle w:val="CRCoverPage"/>
        <w:spacing w:after="0"/>
        <w:rPr>
          <w:b/>
          <w:bCs/>
          <w:sz w:val="24"/>
          <w:szCs w:val="24"/>
        </w:rPr>
      </w:pPr>
      <w:r w:rsidRPr="008D7C4F">
        <w:rPr>
          <w:b/>
          <w:bCs/>
          <w:sz w:val="24"/>
          <w:szCs w:val="24"/>
        </w:rPr>
        <w:t>3GPP TSG RAN Meeting #80                                                                    RP-180664</w:t>
      </w:r>
    </w:p>
    <w:p w14:paraId="08E5F3E6" w14:textId="77777777" w:rsidR="00F40F74" w:rsidRPr="008D7C4F" w:rsidRDefault="00F40F74" w:rsidP="00F40F74">
      <w:pPr>
        <w:pStyle w:val="CRCoverPage"/>
        <w:spacing w:after="0"/>
        <w:rPr>
          <w:b/>
          <w:bCs/>
          <w:sz w:val="24"/>
          <w:szCs w:val="24"/>
        </w:rPr>
      </w:pPr>
      <w:r w:rsidRPr="008D7C4F">
        <w:rPr>
          <w:b/>
          <w:bCs/>
          <w:sz w:val="24"/>
          <w:szCs w:val="24"/>
        </w:rPr>
        <w:t>La Jolla, USA, 11</w:t>
      </w:r>
      <w:r w:rsidRPr="008D7C4F">
        <w:rPr>
          <w:b/>
          <w:bCs/>
          <w:sz w:val="24"/>
          <w:szCs w:val="24"/>
          <w:vertAlign w:val="superscript"/>
        </w:rPr>
        <w:t>th</w:t>
      </w:r>
      <w:r w:rsidRPr="008D7C4F">
        <w:rPr>
          <w:b/>
          <w:bCs/>
          <w:sz w:val="24"/>
          <w:szCs w:val="24"/>
        </w:rPr>
        <w:t xml:space="preserve"> June – 14</w:t>
      </w:r>
      <w:r w:rsidRPr="008D7C4F">
        <w:rPr>
          <w:b/>
          <w:bCs/>
          <w:sz w:val="24"/>
          <w:szCs w:val="24"/>
          <w:vertAlign w:val="superscript"/>
        </w:rPr>
        <w:t>th</w:t>
      </w:r>
      <w:r w:rsidRPr="008D7C4F">
        <w:rPr>
          <w:b/>
          <w:bCs/>
          <w:sz w:val="24"/>
          <w:szCs w:val="24"/>
        </w:rPr>
        <w:t xml:space="preserve"> June 2018</w:t>
      </w:r>
    </w:p>
    <w:p w14:paraId="78CA67C3" w14:textId="77777777" w:rsidR="00F40F74" w:rsidRPr="008D7C4F" w:rsidRDefault="00F40F74" w:rsidP="00F40F74">
      <w:pPr>
        <w:pStyle w:val="TdocHeader2"/>
        <w:rPr>
          <w:bCs/>
          <w:sz w:val="20"/>
        </w:rPr>
      </w:pPr>
    </w:p>
    <w:p w14:paraId="07FBA04D" w14:textId="16A8DFAE" w:rsidR="00F40F74" w:rsidRPr="008D7C4F" w:rsidRDefault="00F40F74" w:rsidP="00F40F74">
      <w:pPr>
        <w:pStyle w:val="TdocHeader2"/>
        <w:rPr>
          <w:sz w:val="20"/>
          <w:lang w:val="en-US"/>
        </w:rPr>
      </w:pPr>
      <w:r w:rsidRPr="008D7C4F">
        <w:rPr>
          <w:sz w:val="20"/>
        </w:rPr>
        <w:t>Source:</w:t>
      </w:r>
      <w:r w:rsidRPr="008D7C4F">
        <w:rPr>
          <w:sz w:val="20"/>
        </w:rPr>
        <w:tab/>
        <w:t>Thales</w:t>
      </w:r>
      <w:r w:rsidR="00B8150C">
        <w:rPr>
          <w:sz w:val="20"/>
        </w:rPr>
        <w:t>, Nokia, Nokia Shanghai Bell, HNS</w:t>
      </w:r>
    </w:p>
    <w:p w14:paraId="5B415235" w14:textId="6FCC624E" w:rsidR="00F40F74" w:rsidRPr="008D7C4F" w:rsidRDefault="00F40F74" w:rsidP="00F40F74">
      <w:pPr>
        <w:pStyle w:val="TdocHeader2"/>
        <w:rPr>
          <w:sz w:val="20"/>
        </w:rPr>
      </w:pPr>
      <w:r w:rsidRPr="008D7C4F">
        <w:rPr>
          <w:sz w:val="20"/>
        </w:rPr>
        <w:t>Title:</w:t>
      </w:r>
      <w:r w:rsidRPr="008D7C4F">
        <w:rPr>
          <w:sz w:val="20"/>
        </w:rPr>
        <w:tab/>
        <w:t xml:space="preserve">NR-NTN: </w:t>
      </w:r>
      <w:r w:rsidR="0049565F">
        <w:rPr>
          <w:sz w:val="20"/>
        </w:rPr>
        <w:t xml:space="preserve">Preliminary </w:t>
      </w:r>
      <w:r w:rsidRPr="008D7C4F">
        <w:rPr>
          <w:sz w:val="20"/>
        </w:rPr>
        <w:t>solution</w:t>
      </w:r>
      <w:r w:rsidR="0049565F">
        <w:rPr>
          <w:sz w:val="20"/>
        </w:rPr>
        <w:t>s</w:t>
      </w:r>
      <w:r w:rsidRPr="008D7C4F">
        <w:rPr>
          <w:sz w:val="20"/>
        </w:rPr>
        <w:t xml:space="preserve"> for NR to support non-terrestrial networks</w:t>
      </w:r>
    </w:p>
    <w:p w14:paraId="73FBA9D8" w14:textId="6E856E2D" w:rsidR="00F40F74" w:rsidRPr="008D7C4F" w:rsidRDefault="00F40F74" w:rsidP="00F40F74">
      <w:pPr>
        <w:pStyle w:val="TdocHeader2"/>
        <w:rPr>
          <w:sz w:val="20"/>
        </w:rPr>
      </w:pPr>
      <w:r w:rsidRPr="008D7C4F">
        <w:rPr>
          <w:sz w:val="20"/>
        </w:rPr>
        <w:t>TDOC Type:</w:t>
      </w:r>
      <w:r w:rsidRPr="008D7C4F">
        <w:rPr>
          <w:sz w:val="20"/>
        </w:rPr>
        <w:tab/>
        <w:t>discussion</w:t>
      </w:r>
    </w:p>
    <w:p w14:paraId="18AFC792" w14:textId="77777777" w:rsidR="00F40F74" w:rsidRPr="008D7C4F" w:rsidRDefault="00F40F74" w:rsidP="00F40F74">
      <w:pPr>
        <w:pStyle w:val="TdocHeader2"/>
        <w:rPr>
          <w:sz w:val="20"/>
        </w:rPr>
      </w:pPr>
      <w:r w:rsidRPr="008D7C4F">
        <w:rPr>
          <w:sz w:val="20"/>
        </w:rPr>
        <w:t>Agenda Item:</w:t>
      </w:r>
      <w:r w:rsidRPr="008D7C4F">
        <w:rPr>
          <w:sz w:val="20"/>
        </w:rPr>
        <w:tab/>
        <w:t xml:space="preserve">9.4.1 </w:t>
      </w:r>
      <w:hyperlink r:id="rId9" w:anchor="bm750040" w:history="1">
        <w:r w:rsidRPr="008D7C4F">
          <w:rPr>
            <w:rStyle w:val="Lienhypertexte"/>
            <w:sz w:val="20"/>
          </w:rPr>
          <w:t xml:space="preserve"> (SID = </w:t>
        </w:r>
        <w:proofErr w:type="spellStart"/>
        <w:r w:rsidRPr="008D7C4F">
          <w:rPr>
            <w:rStyle w:val="Lienhypertexte"/>
            <w:sz w:val="20"/>
          </w:rPr>
          <w:t>sFS_NR_nonterr_nw</w:t>
        </w:r>
        <w:proofErr w:type="spellEnd"/>
        <w:r w:rsidRPr="008D7C4F">
          <w:rPr>
            <w:rStyle w:val="Lienhypertexte"/>
            <w:sz w:val="20"/>
          </w:rPr>
          <w:t>)</w:t>
        </w:r>
      </w:hyperlink>
    </w:p>
    <w:p w14:paraId="2A87E882" w14:textId="39F9FCDD" w:rsidR="00F40F74" w:rsidRPr="008D7C4F" w:rsidRDefault="00F40F74" w:rsidP="00F40F74">
      <w:pPr>
        <w:pStyle w:val="TdocHeader2"/>
        <w:rPr>
          <w:sz w:val="20"/>
          <w:lang w:val="en-US"/>
        </w:rPr>
      </w:pPr>
      <w:r w:rsidRPr="008D7C4F">
        <w:rPr>
          <w:sz w:val="20"/>
        </w:rPr>
        <w:t>Document for:</w:t>
      </w:r>
      <w:r w:rsidRPr="008D7C4F">
        <w:rPr>
          <w:sz w:val="20"/>
        </w:rPr>
        <w:tab/>
        <w:t>Information</w:t>
      </w:r>
    </w:p>
    <w:p w14:paraId="3AEF8D1B" w14:textId="77777777" w:rsidR="00F40F74" w:rsidRPr="008D7C4F" w:rsidRDefault="00F40F74" w:rsidP="00F40F74">
      <w:pPr>
        <w:pStyle w:val="TdocHeader2"/>
        <w:rPr>
          <w:sz w:val="20"/>
        </w:rPr>
      </w:pPr>
      <w:r w:rsidRPr="008D7C4F">
        <w:rPr>
          <w:sz w:val="20"/>
        </w:rPr>
        <w:t>Release:</w:t>
      </w:r>
      <w:r w:rsidRPr="008D7C4F">
        <w:rPr>
          <w:sz w:val="20"/>
        </w:rPr>
        <w:tab/>
        <w:t>Rel-15</w:t>
      </w:r>
    </w:p>
    <w:p w14:paraId="13052266" w14:textId="77777777" w:rsidR="00F40F74" w:rsidRPr="008D7C4F" w:rsidRDefault="00F40F74" w:rsidP="00F40F74">
      <w:pPr>
        <w:pStyle w:val="TdocHeader2"/>
        <w:rPr>
          <w:sz w:val="20"/>
        </w:rPr>
      </w:pPr>
      <w:r w:rsidRPr="008D7C4F">
        <w:rPr>
          <w:sz w:val="20"/>
        </w:rPr>
        <w:t>Specification:</w:t>
      </w:r>
      <w:r w:rsidRPr="008D7C4F">
        <w:rPr>
          <w:sz w:val="20"/>
        </w:rPr>
        <w:tab/>
      </w:r>
      <w:r w:rsidRPr="008D7C4F">
        <w:rPr>
          <w:sz w:val="20"/>
          <w:lang w:val="en-US"/>
        </w:rPr>
        <w:t xml:space="preserve">TR 38.811 </w:t>
      </w:r>
      <w:hyperlink r:id="rId10" w:anchor="bm750040" w:history="1">
        <w:r w:rsidRPr="008D7C4F">
          <w:rPr>
            <w:rStyle w:val="Lienhypertexte"/>
            <w:sz w:val="20"/>
          </w:rPr>
          <w:t xml:space="preserve">(SID = </w:t>
        </w:r>
        <w:proofErr w:type="spellStart"/>
        <w:r w:rsidRPr="008D7C4F">
          <w:rPr>
            <w:rStyle w:val="Lienhypertexte"/>
            <w:sz w:val="20"/>
          </w:rPr>
          <w:t>sFS_NR_nonterr_nw</w:t>
        </w:r>
        <w:proofErr w:type="spellEnd"/>
        <w:r w:rsidRPr="008D7C4F">
          <w:rPr>
            <w:rStyle w:val="Lienhypertexte"/>
            <w:sz w:val="20"/>
          </w:rPr>
          <w:t xml:space="preserve">) </w:t>
        </w:r>
      </w:hyperlink>
    </w:p>
    <w:p w14:paraId="43C92D28" w14:textId="77777777" w:rsidR="00CF2A6C" w:rsidRPr="008D7C4F" w:rsidRDefault="00CF2A6C">
      <w:pPr>
        <w:pStyle w:val="TdocHeader2"/>
        <w:rPr>
          <w:sz w:val="20"/>
          <w:lang w:val="en-US"/>
        </w:rPr>
      </w:pPr>
    </w:p>
    <w:p w14:paraId="17D63B90" w14:textId="537D530F" w:rsidR="00CF2A6C" w:rsidRPr="008D7C4F" w:rsidRDefault="00593F6D">
      <w:pPr>
        <w:pStyle w:val="Titre1"/>
        <w:numPr>
          <w:ilvl w:val="0"/>
          <w:numId w:val="2"/>
        </w:numPr>
        <w:textAlignment w:val="auto"/>
        <w:rPr>
          <w:lang w:val="en-US"/>
        </w:rPr>
      </w:pPr>
      <w:bookmarkStart w:id="0" w:name="_Ref298777854"/>
      <w:bookmarkEnd w:id="0"/>
      <w:r w:rsidRPr="008D7C4F">
        <w:rPr>
          <w:lang w:val="en-US"/>
        </w:rPr>
        <w:t>Introduction</w:t>
      </w:r>
    </w:p>
    <w:p w14:paraId="0F07F96D" w14:textId="0EE42DEB" w:rsidR="00811666" w:rsidRPr="008D7C4F" w:rsidRDefault="00240BC1" w:rsidP="00144E5C">
      <w:pPr>
        <w:rPr>
          <w:sz w:val="24"/>
          <w:szCs w:val="24"/>
        </w:rPr>
      </w:pPr>
      <w:r w:rsidRPr="008D7C4F">
        <w:rPr>
          <w:sz w:val="24"/>
          <w:szCs w:val="24"/>
        </w:rPr>
        <w:t>This document</w:t>
      </w:r>
      <w:r w:rsidR="00080661" w:rsidRPr="008D7C4F">
        <w:rPr>
          <w:sz w:val="24"/>
          <w:szCs w:val="24"/>
        </w:rPr>
        <w:t xml:space="preserve"> </w:t>
      </w:r>
      <w:r w:rsidR="00811666" w:rsidRPr="008D7C4F">
        <w:rPr>
          <w:sz w:val="24"/>
          <w:szCs w:val="24"/>
        </w:rPr>
        <w:t xml:space="preserve">identifies </w:t>
      </w:r>
      <w:r w:rsidR="00593F6D" w:rsidRPr="008D7C4F">
        <w:rPr>
          <w:sz w:val="24"/>
          <w:szCs w:val="24"/>
        </w:rPr>
        <w:t xml:space="preserve">preliminary </w:t>
      </w:r>
      <w:r w:rsidR="00811666" w:rsidRPr="008D7C4F">
        <w:rPr>
          <w:sz w:val="24"/>
          <w:szCs w:val="24"/>
        </w:rPr>
        <w:t xml:space="preserve">solutions to address </w:t>
      </w:r>
      <w:r w:rsidR="00356000">
        <w:rPr>
          <w:sz w:val="24"/>
          <w:szCs w:val="24"/>
        </w:rPr>
        <w:t>NR areas of impact</w:t>
      </w:r>
      <w:r w:rsidR="00356000" w:rsidRPr="008D7C4F">
        <w:rPr>
          <w:sz w:val="24"/>
          <w:szCs w:val="24"/>
        </w:rPr>
        <w:t xml:space="preserve"> </w:t>
      </w:r>
      <w:r w:rsidR="00426BC6" w:rsidRPr="008D7C4F">
        <w:rPr>
          <w:sz w:val="24"/>
          <w:szCs w:val="24"/>
        </w:rPr>
        <w:t xml:space="preserve">identified in 3GPP TR 38.811 </w:t>
      </w:r>
      <w:r w:rsidR="00811666" w:rsidRPr="008D7C4F">
        <w:rPr>
          <w:sz w:val="24"/>
          <w:szCs w:val="24"/>
        </w:rPr>
        <w:t xml:space="preserve">associated </w:t>
      </w:r>
      <w:r w:rsidR="00426BC6" w:rsidRPr="008D7C4F">
        <w:rPr>
          <w:sz w:val="24"/>
          <w:szCs w:val="24"/>
        </w:rPr>
        <w:t xml:space="preserve">with </w:t>
      </w:r>
      <w:r w:rsidR="00811666" w:rsidRPr="008D7C4F">
        <w:rPr>
          <w:sz w:val="24"/>
          <w:szCs w:val="24"/>
        </w:rPr>
        <w:t xml:space="preserve">the operation of NR </w:t>
      </w:r>
      <w:r w:rsidR="00426BC6" w:rsidRPr="008D7C4F">
        <w:rPr>
          <w:sz w:val="24"/>
          <w:szCs w:val="24"/>
        </w:rPr>
        <w:t xml:space="preserve">radio interface </w:t>
      </w:r>
      <w:r w:rsidR="00811666" w:rsidRPr="008D7C4F">
        <w:rPr>
          <w:sz w:val="24"/>
          <w:szCs w:val="24"/>
        </w:rPr>
        <w:t>in Non-Terrestrial Networks.</w:t>
      </w:r>
    </w:p>
    <w:p w14:paraId="5626E610" w14:textId="764F5F40" w:rsidR="0049565F" w:rsidRDefault="008D1C09" w:rsidP="00FC2FB6">
      <w:r>
        <w:t>They</w:t>
      </w:r>
      <w:r w:rsidR="0049565F">
        <w:t xml:space="preserve"> have been identified with experts from RAN1, RAN2 and RAN3 WG</w:t>
      </w:r>
      <w:r>
        <w:t xml:space="preserve"> to address the problems assessed in chap 7.3 of </w:t>
      </w:r>
      <w:bookmarkStart w:id="1" w:name="_GoBack"/>
      <w:bookmarkEnd w:id="1"/>
      <w:r>
        <w:t>TR 38.811 for NR to support Non-Terrestrial networks</w:t>
      </w:r>
      <w:r w:rsidR="0049565F">
        <w:t xml:space="preserve">. </w:t>
      </w:r>
    </w:p>
    <w:p w14:paraId="31CDA4BE" w14:textId="77777777" w:rsidR="000562F8" w:rsidRPr="008D7C4F" w:rsidRDefault="000562F8" w:rsidP="00144E5C">
      <w:pPr>
        <w:rPr>
          <w:sz w:val="24"/>
          <w:szCs w:val="24"/>
        </w:rPr>
      </w:pPr>
    </w:p>
    <w:p w14:paraId="31192A93" w14:textId="174E3CD7" w:rsidR="000562F8" w:rsidRPr="008D7C4F" w:rsidRDefault="000562F8" w:rsidP="000562F8">
      <w:pPr>
        <w:pStyle w:val="Titre1"/>
        <w:numPr>
          <w:ilvl w:val="0"/>
          <w:numId w:val="2"/>
        </w:numPr>
        <w:textAlignment w:val="auto"/>
        <w:rPr>
          <w:lang w:val="en-US"/>
        </w:rPr>
      </w:pPr>
      <w:r w:rsidRPr="008D7C4F">
        <w:rPr>
          <w:lang w:val="en-US"/>
        </w:rPr>
        <w:t>References</w:t>
      </w:r>
    </w:p>
    <w:p w14:paraId="3E77AC2D" w14:textId="568C134F" w:rsidR="00FC2FB6" w:rsidRPr="008D7C4F" w:rsidRDefault="00FC2FB6" w:rsidP="00FC2FB6">
      <w:pPr>
        <w:rPr>
          <w:u w:color="FFFF00"/>
        </w:rPr>
      </w:pPr>
      <w:r w:rsidRPr="008D7C4F">
        <w:rPr>
          <w:u w:color="FFFF00"/>
        </w:rPr>
        <w:t>[</w:t>
      </w:r>
      <w:r w:rsidR="001A5E9E" w:rsidRPr="008D7C4F">
        <w:rPr>
          <w:u w:color="FFFF00"/>
        </w:rPr>
        <w:t>1-</w:t>
      </w:r>
      <w:r w:rsidRPr="008D7C4F">
        <w:rPr>
          <w:u w:color="FFFF00"/>
        </w:rPr>
        <w:t>1]</w:t>
      </w:r>
      <w:r w:rsidRPr="008D7C4F">
        <w:rPr>
          <w:u w:color="FFFF00"/>
        </w:rPr>
        <w:tab/>
        <w:t>3GPP TR 38.811, “Study on New Radio (NR) to support non terrestrial networks”.</w:t>
      </w:r>
    </w:p>
    <w:p w14:paraId="2B7401A2" w14:textId="68917CF9" w:rsidR="0049565F" w:rsidRPr="00F47A25" w:rsidRDefault="0049565F" w:rsidP="0049565F">
      <w:r w:rsidRPr="00F47A25">
        <w:rPr>
          <w:u w:color="FFFF00"/>
        </w:rPr>
        <w:t xml:space="preserve"> [1</w:t>
      </w:r>
      <w:r>
        <w:rPr>
          <w:u w:color="FFFF00"/>
        </w:rPr>
        <w:t>-2</w:t>
      </w:r>
      <w:r w:rsidRPr="00F47A25">
        <w:rPr>
          <w:u w:color="FFFF00"/>
        </w:rPr>
        <w:t>]</w:t>
      </w:r>
      <w:r w:rsidRPr="00F47A25">
        <w:tab/>
        <w:t xml:space="preserve">RP-171450, “Study on NR to support Non-Terrestrial Networks”, Thales, Dish network, 3GPP RAN#76, West Palm Beach, USA, 5th – 9th June 2017. </w:t>
      </w:r>
    </w:p>
    <w:p w14:paraId="3267E35A" w14:textId="77777777" w:rsidR="00356000" w:rsidRPr="00016502" w:rsidRDefault="00356000" w:rsidP="003F75B6">
      <w:pPr>
        <w:rPr>
          <w:u w:color="FFFF00"/>
        </w:rPr>
      </w:pPr>
    </w:p>
    <w:p w14:paraId="689A0D88" w14:textId="62C25348" w:rsidR="003F75B6" w:rsidRPr="008D7C4F" w:rsidRDefault="003F75B6" w:rsidP="003F75B6">
      <w:pPr>
        <w:rPr>
          <w:u w:color="FFFF00"/>
          <w:lang w:val="en-GB"/>
        </w:rPr>
      </w:pPr>
      <w:r w:rsidRPr="008D7C4F">
        <w:rPr>
          <w:u w:color="FFFF00"/>
          <w:lang w:val="en-GB"/>
        </w:rPr>
        <w:t>[</w:t>
      </w:r>
      <w:r w:rsidR="001A5E9E" w:rsidRPr="008D7C4F">
        <w:rPr>
          <w:u w:color="FFFF00"/>
          <w:lang w:val="en-GB"/>
        </w:rPr>
        <w:t>31-1</w:t>
      </w:r>
      <w:r w:rsidRPr="008D7C4F">
        <w:rPr>
          <w:u w:color="FFFF00"/>
          <w:lang w:val="en-GB"/>
        </w:rPr>
        <w:t>] 3GPP TS 38.300 V15.0.0  : NR and NG-RAN Overall Description</w:t>
      </w:r>
    </w:p>
    <w:p w14:paraId="2EB97AE9" w14:textId="6349535F" w:rsidR="000562F8" w:rsidRPr="008D7C4F" w:rsidRDefault="000562F8" w:rsidP="00F35860">
      <w:pPr>
        <w:rPr>
          <w:lang w:val="en-GB"/>
        </w:rPr>
      </w:pPr>
      <w:r w:rsidRPr="00016502">
        <w:rPr>
          <w:u w:color="FFFF00"/>
          <w:lang w:val="en-GB"/>
        </w:rPr>
        <w:t>[</w:t>
      </w:r>
      <w:r w:rsidR="0010483F" w:rsidRPr="00016502">
        <w:rPr>
          <w:u w:color="FFFF00"/>
        </w:rPr>
        <w:t>34</w:t>
      </w:r>
      <w:r w:rsidRPr="00016502">
        <w:rPr>
          <w:u w:color="FFFF00"/>
        </w:rPr>
        <w:t>-</w:t>
      </w:r>
      <w:r w:rsidRPr="00016502">
        <w:rPr>
          <w:u w:color="FFFF00"/>
          <w:lang w:val="en-GB"/>
        </w:rPr>
        <w:t>1]</w:t>
      </w:r>
      <w:r w:rsidRPr="008D7C4F">
        <w:rPr>
          <w:lang w:val="en-GB"/>
        </w:rPr>
        <w:tab/>
        <w:t>3GPP TS 38.213, “Technical Specification Group Radio Access Network; NR; Physical layer procedure for control (Release 15)”, v1.0.0 (2017-12)</w:t>
      </w:r>
    </w:p>
    <w:p w14:paraId="1CAD174F" w14:textId="7DD4CE71" w:rsidR="000562F8" w:rsidRPr="008D7C4F" w:rsidRDefault="000562F8" w:rsidP="00F35860">
      <w:pPr>
        <w:rPr>
          <w:lang w:val="en-GB"/>
        </w:rPr>
      </w:pPr>
      <w:r w:rsidRPr="00016502">
        <w:rPr>
          <w:u w:color="FFFF00"/>
          <w:lang w:val="en-GB"/>
        </w:rPr>
        <w:t>[</w:t>
      </w:r>
      <w:r w:rsidR="0010483F" w:rsidRPr="00016502">
        <w:rPr>
          <w:u w:color="FFFF00"/>
        </w:rPr>
        <w:t>34</w:t>
      </w:r>
      <w:r w:rsidRPr="00016502">
        <w:rPr>
          <w:u w:color="FFFF00"/>
        </w:rPr>
        <w:t>-</w:t>
      </w:r>
      <w:r w:rsidR="0010483F" w:rsidRPr="00016502">
        <w:rPr>
          <w:u w:color="FFFF00"/>
          <w:lang w:val="en-GB"/>
        </w:rPr>
        <w:t>2</w:t>
      </w:r>
      <w:r w:rsidRPr="00016502">
        <w:rPr>
          <w:u w:color="FFFF00"/>
          <w:lang w:val="en-GB"/>
        </w:rPr>
        <w:t>]</w:t>
      </w:r>
      <w:r w:rsidRPr="008D7C4F">
        <w:rPr>
          <w:lang w:val="en-GB"/>
        </w:rPr>
        <w:tab/>
        <w:t>3GPP TS 38.212, “Technical Specification Group Radio Access Network; NR; Multiplexing and channel coding (Release 15)”, v1.0.0 (2017-12)</w:t>
      </w:r>
    </w:p>
    <w:p w14:paraId="194124CD" w14:textId="20A7A75D" w:rsidR="0010483F" w:rsidRPr="008D7C4F" w:rsidRDefault="0010483F" w:rsidP="0010483F">
      <w:pPr>
        <w:rPr>
          <w:lang w:val="en-GB"/>
        </w:rPr>
      </w:pPr>
      <w:r w:rsidRPr="00016502">
        <w:rPr>
          <w:u w:color="FFFF00"/>
          <w:lang w:val="en-GB"/>
        </w:rPr>
        <w:t>[</w:t>
      </w:r>
      <w:r w:rsidRPr="00016502">
        <w:rPr>
          <w:u w:color="FFFF00"/>
        </w:rPr>
        <w:t>34-</w:t>
      </w:r>
      <w:r w:rsidRPr="00016502">
        <w:rPr>
          <w:u w:color="FFFF00"/>
          <w:lang w:val="en-GB"/>
        </w:rPr>
        <w:t>3]</w:t>
      </w:r>
      <w:r w:rsidRPr="008D7C4F">
        <w:rPr>
          <w:lang w:val="en-GB"/>
        </w:rPr>
        <w:tab/>
        <w:t>3GPP TS 38.321, “Technical Specification Group Radio Access Network; NR; Medium Access Control (MAC) protocol specification (Release 15)”, v1.0.0 (2017-12)</w:t>
      </w:r>
    </w:p>
    <w:p w14:paraId="5EDE9925" w14:textId="1CA6139C" w:rsidR="0010483F" w:rsidRPr="008D7C4F" w:rsidRDefault="0010483F" w:rsidP="0010483F">
      <w:pPr>
        <w:rPr>
          <w:lang w:val="en-GB"/>
        </w:rPr>
      </w:pPr>
      <w:r w:rsidRPr="00016502">
        <w:rPr>
          <w:u w:color="FFFF00"/>
        </w:rPr>
        <w:t>[34-</w:t>
      </w:r>
      <w:r w:rsidRPr="00016502">
        <w:rPr>
          <w:u w:color="FFFF00"/>
          <w:lang w:val="en-GB"/>
        </w:rPr>
        <w:t>4]</w:t>
      </w:r>
      <w:r w:rsidRPr="008D7C4F">
        <w:rPr>
          <w:lang w:val="en-GB"/>
        </w:rPr>
        <w:tab/>
        <w:t xml:space="preserve">R1-1804857, “Deactivating HARQ for Non-Terrestrial Networks”, </w:t>
      </w:r>
      <w:proofErr w:type="spellStart"/>
      <w:r w:rsidRPr="008D7C4F">
        <w:rPr>
          <w:lang w:val="en-GB"/>
        </w:rPr>
        <w:t>InterDigital</w:t>
      </w:r>
      <w:proofErr w:type="spellEnd"/>
      <w:r w:rsidRPr="008D7C4F">
        <w:rPr>
          <w:lang w:val="en-GB"/>
        </w:rPr>
        <w:t xml:space="preserve"> Inc., 3GPP TSG RAN1 meeting #92bis, </w:t>
      </w:r>
      <w:proofErr w:type="spellStart"/>
      <w:r w:rsidRPr="008D7C4F">
        <w:rPr>
          <w:lang w:val="en-GB"/>
        </w:rPr>
        <w:t>Sanya</w:t>
      </w:r>
      <w:proofErr w:type="spellEnd"/>
      <w:r w:rsidRPr="008D7C4F">
        <w:rPr>
          <w:lang w:val="en-GB"/>
        </w:rPr>
        <w:t>, China, April 16th – 20th, 2018.</w:t>
      </w:r>
    </w:p>
    <w:p w14:paraId="3764034C" w14:textId="29BBB5CD" w:rsidR="000562F8" w:rsidRPr="008D7C4F" w:rsidRDefault="0010483F" w:rsidP="0010483F">
      <w:pPr>
        <w:rPr>
          <w:lang w:val="en-GB"/>
        </w:rPr>
      </w:pPr>
      <w:r w:rsidRPr="00016502">
        <w:rPr>
          <w:u w:color="FFFF00"/>
          <w:lang w:val="en-GB"/>
        </w:rPr>
        <w:t xml:space="preserve"> </w:t>
      </w:r>
      <w:r w:rsidR="000562F8" w:rsidRPr="00016502">
        <w:rPr>
          <w:u w:color="FFFF00"/>
          <w:lang w:val="en-GB"/>
        </w:rPr>
        <w:t>[</w:t>
      </w:r>
      <w:r w:rsidRPr="00016502">
        <w:rPr>
          <w:u w:color="FFFF00"/>
        </w:rPr>
        <w:t>34-</w:t>
      </w:r>
      <w:r w:rsidRPr="00016502">
        <w:rPr>
          <w:u w:color="FFFF00"/>
          <w:lang w:val="en-GB"/>
        </w:rPr>
        <w:t>5</w:t>
      </w:r>
      <w:r w:rsidR="000562F8" w:rsidRPr="00016502">
        <w:rPr>
          <w:u w:color="FFFF00"/>
          <w:lang w:val="en-GB"/>
        </w:rPr>
        <w:t>]</w:t>
      </w:r>
      <w:r w:rsidR="000562F8" w:rsidRPr="008D7C4F">
        <w:rPr>
          <w:lang w:val="en-GB"/>
        </w:rPr>
        <w:tab/>
        <w:t>3GPP TS 38.214, “Technical Specification Group Radio Access Network; NR; Physical layer procedures for data (Release 15)”, v1.0.0 (2017-12)</w:t>
      </w:r>
    </w:p>
    <w:p w14:paraId="1B9AFE41" w14:textId="7CDC5C56" w:rsidR="000562F8" w:rsidRPr="008D7C4F" w:rsidRDefault="0010483F" w:rsidP="00F35860">
      <w:pPr>
        <w:rPr>
          <w:lang w:val="en-GB"/>
        </w:rPr>
      </w:pPr>
      <w:r w:rsidRPr="00016502" w:rsidDel="0010483F">
        <w:rPr>
          <w:u w:color="FFFF00"/>
          <w:lang w:val="en-GB"/>
        </w:rPr>
        <w:t xml:space="preserve"> </w:t>
      </w:r>
      <w:r w:rsidR="000562F8" w:rsidRPr="00016502">
        <w:rPr>
          <w:u w:color="FFFF00"/>
          <w:lang w:val="en-GB"/>
        </w:rPr>
        <w:t>[</w:t>
      </w:r>
      <w:r w:rsidRPr="00016502">
        <w:rPr>
          <w:u w:color="FFFF00"/>
        </w:rPr>
        <w:t>34-</w:t>
      </w:r>
      <w:r w:rsidRPr="00016502">
        <w:rPr>
          <w:u w:color="FFFF00"/>
          <w:lang w:val="en-GB"/>
        </w:rPr>
        <w:t>6</w:t>
      </w:r>
      <w:r w:rsidR="000562F8" w:rsidRPr="00016502">
        <w:rPr>
          <w:u w:color="FFFF00"/>
          <w:lang w:val="en-GB"/>
        </w:rPr>
        <w:t>]</w:t>
      </w:r>
      <w:r w:rsidR="000562F8" w:rsidRPr="008D7C4F">
        <w:rPr>
          <w:lang w:val="en-GB"/>
        </w:rPr>
        <w:tab/>
        <w:t xml:space="preserve">R. Ali Ahmad, J. </w:t>
      </w:r>
      <w:proofErr w:type="spellStart"/>
      <w:r w:rsidR="000562F8" w:rsidRPr="008D7C4F">
        <w:rPr>
          <w:lang w:val="en-GB"/>
        </w:rPr>
        <w:t>Lacan</w:t>
      </w:r>
      <w:proofErr w:type="spellEnd"/>
      <w:r w:rsidR="000562F8" w:rsidRPr="008D7C4F">
        <w:rPr>
          <w:lang w:val="en-GB"/>
        </w:rPr>
        <w:t xml:space="preserve">, F. </w:t>
      </w:r>
      <w:proofErr w:type="spellStart"/>
      <w:r w:rsidR="000562F8" w:rsidRPr="008D7C4F">
        <w:rPr>
          <w:lang w:val="en-GB"/>
        </w:rPr>
        <w:t>Arnal</w:t>
      </w:r>
      <w:proofErr w:type="spellEnd"/>
      <w:r w:rsidR="000562F8" w:rsidRPr="008D7C4F">
        <w:rPr>
          <w:lang w:val="en-GB"/>
        </w:rPr>
        <w:t xml:space="preserve">, M. </w:t>
      </w:r>
      <w:proofErr w:type="spellStart"/>
      <w:r w:rsidR="000562F8" w:rsidRPr="008D7C4F">
        <w:rPr>
          <w:lang w:val="en-GB"/>
        </w:rPr>
        <w:t>Gineste</w:t>
      </w:r>
      <w:proofErr w:type="spellEnd"/>
      <w:r w:rsidR="000562F8" w:rsidRPr="008D7C4F">
        <w:rPr>
          <w:lang w:val="en-GB"/>
        </w:rPr>
        <w:t xml:space="preserve"> and L. </w:t>
      </w:r>
      <w:proofErr w:type="spellStart"/>
      <w:r w:rsidR="000562F8" w:rsidRPr="008D7C4F">
        <w:rPr>
          <w:lang w:val="en-GB"/>
        </w:rPr>
        <w:t>Clarac</w:t>
      </w:r>
      <w:proofErr w:type="spellEnd"/>
      <w:r w:rsidR="000562F8" w:rsidRPr="008D7C4F">
        <w:rPr>
          <w:lang w:val="en-GB"/>
        </w:rPr>
        <w:t>, “Enhancing satellite system throughput using adaptive HARQ for delay tolerant services in mobile communications,” 2015 Wireless Telecommunications Symposium (WTS), New York, NY, 2015, pp. 1-7.</w:t>
      </w:r>
    </w:p>
    <w:p w14:paraId="66C9B5C5" w14:textId="483DA09C" w:rsidR="000562F8" w:rsidRPr="008D7C4F" w:rsidRDefault="0010483F" w:rsidP="00F35860">
      <w:pPr>
        <w:rPr>
          <w:lang w:val="en-GB"/>
        </w:rPr>
      </w:pPr>
      <w:r w:rsidRPr="00016502" w:rsidDel="0010483F">
        <w:rPr>
          <w:u w:color="FFFF00"/>
          <w:lang w:val="en-GB"/>
        </w:rPr>
        <w:lastRenderedPageBreak/>
        <w:t xml:space="preserve"> </w:t>
      </w:r>
      <w:r w:rsidR="000562F8" w:rsidRPr="00016502">
        <w:rPr>
          <w:u w:color="FFFF00"/>
          <w:lang w:val="en-GB"/>
        </w:rPr>
        <w:t>[</w:t>
      </w:r>
      <w:r w:rsidRPr="00016502">
        <w:rPr>
          <w:u w:color="FFFF00"/>
        </w:rPr>
        <w:t>34-</w:t>
      </w:r>
      <w:r w:rsidRPr="00016502">
        <w:rPr>
          <w:u w:color="FFFF00"/>
          <w:lang w:val="en-GB"/>
        </w:rPr>
        <w:t>7</w:t>
      </w:r>
      <w:r w:rsidR="000562F8" w:rsidRPr="00016502">
        <w:rPr>
          <w:u w:color="FFFF00"/>
          <w:lang w:val="en-GB"/>
        </w:rPr>
        <w:t>]</w:t>
      </w:r>
      <w:r w:rsidR="000562F8" w:rsidRPr="00016502">
        <w:rPr>
          <w:lang w:val="en-GB"/>
        </w:rPr>
        <w:tab/>
        <w:t>R1-</w:t>
      </w:r>
      <w:r w:rsidR="009A4A68" w:rsidRPr="008D7C4F">
        <w:rPr>
          <w:lang w:val="en-GB"/>
        </w:rPr>
        <w:t>1805848</w:t>
      </w:r>
      <w:r w:rsidR="000562F8" w:rsidRPr="008D7C4F">
        <w:rPr>
          <w:lang w:val="en-GB"/>
        </w:rPr>
        <w:t>, “Consideration on HARQ Impact for NTN”</w:t>
      </w:r>
      <w:r w:rsidR="009A4A68" w:rsidRPr="008D7C4F">
        <w:rPr>
          <w:lang w:val="en-GB"/>
        </w:rPr>
        <w:t xml:space="preserve">, </w:t>
      </w:r>
      <w:r w:rsidR="009A4A68" w:rsidRPr="008D7C4F">
        <w:rPr>
          <w:rFonts w:eastAsia="MS Mincho"/>
          <w:lang w:eastAsia="ja-JP"/>
        </w:rPr>
        <w:t>Nokia, Nokia Shanghai Bell,</w:t>
      </w:r>
      <w:r w:rsidR="000562F8" w:rsidRPr="008D7C4F">
        <w:rPr>
          <w:lang w:val="en-GB"/>
        </w:rPr>
        <w:t xml:space="preserve"> 3GPP TSG RAN1 meeting #93, </w:t>
      </w:r>
      <w:proofErr w:type="spellStart"/>
      <w:r w:rsidR="000562F8" w:rsidRPr="008D7C4F">
        <w:rPr>
          <w:lang w:val="en-GB"/>
        </w:rPr>
        <w:t>Busan</w:t>
      </w:r>
      <w:proofErr w:type="spellEnd"/>
      <w:r w:rsidR="000562F8" w:rsidRPr="008D7C4F">
        <w:rPr>
          <w:lang w:val="en-GB"/>
        </w:rPr>
        <w:t>, Korea, May 21st – 25th, 2018.</w:t>
      </w:r>
    </w:p>
    <w:p w14:paraId="1CB889B9" w14:textId="4BA45A03" w:rsidR="00AB6791" w:rsidRPr="008D7C4F" w:rsidRDefault="00AB6791" w:rsidP="00F35860">
      <w:r w:rsidRPr="008D7C4F">
        <w:rPr>
          <w:u w:color="FFFF00"/>
        </w:rPr>
        <w:t>[</w:t>
      </w:r>
      <w:r w:rsidR="00663F90" w:rsidRPr="008D7C4F">
        <w:rPr>
          <w:u w:color="FFFF00"/>
          <w:lang w:val="en-GB"/>
        </w:rPr>
        <w:t>35</w:t>
      </w:r>
      <w:r w:rsidRPr="008D7C4F">
        <w:rPr>
          <w:u w:color="FFFF00"/>
          <w:lang w:val="en-GB"/>
        </w:rPr>
        <w:t>-</w:t>
      </w:r>
      <w:r w:rsidR="00663F90" w:rsidRPr="008D7C4F">
        <w:rPr>
          <w:u w:color="FFFF00"/>
        </w:rPr>
        <w:t>1</w:t>
      </w:r>
      <w:r w:rsidRPr="008D7C4F">
        <w:rPr>
          <w:u w:color="FFFF00"/>
        </w:rPr>
        <w:t>]</w:t>
      </w:r>
      <w:r w:rsidRPr="008D7C4F">
        <w:tab/>
        <w:t>3GPP TS 38.211, “NR; Physical channels and modulation”.</w:t>
      </w:r>
    </w:p>
    <w:p w14:paraId="58A2091A" w14:textId="5422208C" w:rsidR="00663F90" w:rsidRPr="008D7C4F" w:rsidRDefault="00663F90" w:rsidP="00663F90">
      <w:pPr>
        <w:rPr>
          <w:u w:color="FFFF00"/>
        </w:rPr>
      </w:pPr>
      <w:r w:rsidRPr="008D7C4F">
        <w:rPr>
          <w:u w:color="FFFF00"/>
        </w:rPr>
        <w:t>[35-2]</w:t>
      </w:r>
      <w:r w:rsidRPr="008D7C4F">
        <w:rPr>
          <w:u w:color="FFFF00"/>
        </w:rPr>
        <w:tab/>
        <w:t xml:space="preserve">3GPP TS 38.321, “Technical Specification Group Radio Access Network; </w:t>
      </w:r>
      <w:r w:rsidRPr="008D7C4F">
        <w:t>NR; Medium Access Control (MAC) protocol specification</w:t>
      </w:r>
      <w:r w:rsidRPr="008D7C4F">
        <w:rPr>
          <w:u w:color="FFFF00"/>
        </w:rPr>
        <w:t>”</w:t>
      </w:r>
    </w:p>
    <w:p w14:paraId="6E8844F0" w14:textId="673EB516" w:rsidR="00AB6791" w:rsidRPr="008D7C4F" w:rsidRDefault="00AB6791" w:rsidP="00663F90">
      <w:r w:rsidRPr="008D7C4F">
        <w:rPr>
          <w:u w:color="FFFF00"/>
        </w:rPr>
        <w:t>[</w:t>
      </w:r>
      <w:r w:rsidR="00663F90" w:rsidRPr="008D7C4F">
        <w:rPr>
          <w:u w:color="FFFF00"/>
          <w:lang w:val="en-GB"/>
        </w:rPr>
        <w:t>35</w:t>
      </w:r>
      <w:r w:rsidRPr="008D7C4F">
        <w:rPr>
          <w:u w:color="FFFF00"/>
          <w:lang w:val="en-GB"/>
        </w:rPr>
        <w:t>-</w:t>
      </w:r>
      <w:r w:rsidRPr="008D7C4F">
        <w:rPr>
          <w:u w:color="FFFF00"/>
        </w:rPr>
        <w:t>3]</w:t>
      </w:r>
      <w:r w:rsidRPr="008D7C4F">
        <w:tab/>
        <w:t>3GPP TS 38.133, “NR; Requirements for support of radio resource management”.</w:t>
      </w:r>
    </w:p>
    <w:p w14:paraId="7CC99702" w14:textId="4A818E58" w:rsidR="00AB6791" w:rsidRPr="008D7C4F" w:rsidRDefault="00AB6791" w:rsidP="00F35860">
      <w:r w:rsidRPr="008D7C4F">
        <w:rPr>
          <w:u w:color="FFFF00"/>
        </w:rPr>
        <w:t>[</w:t>
      </w:r>
      <w:r w:rsidR="00663F90" w:rsidRPr="008D7C4F">
        <w:rPr>
          <w:u w:color="FFFF00"/>
          <w:lang w:val="en-GB"/>
        </w:rPr>
        <w:t>35</w:t>
      </w:r>
      <w:r w:rsidRPr="008D7C4F">
        <w:rPr>
          <w:u w:color="FFFF00"/>
          <w:lang w:val="en-GB"/>
        </w:rPr>
        <w:t>-</w:t>
      </w:r>
      <w:r w:rsidRPr="008D7C4F">
        <w:rPr>
          <w:u w:color="FFFF00"/>
        </w:rPr>
        <w:t>4]</w:t>
      </w:r>
      <w:r w:rsidRPr="008D7C4F">
        <w:tab/>
        <w:t>3GPP TS 38.213, “NR; Physical layer procedures for control”.</w:t>
      </w:r>
    </w:p>
    <w:p w14:paraId="11AB6368" w14:textId="6DCFF7A0" w:rsidR="002A1F5B" w:rsidRPr="008D7C4F" w:rsidRDefault="002A1F5B" w:rsidP="002A1F5B">
      <w:r w:rsidRPr="00016502">
        <w:rPr>
          <w:u w:color="FFFF00"/>
        </w:rPr>
        <w:t>[</w:t>
      </w:r>
      <w:r w:rsidR="00D907A3" w:rsidRPr="00016502">
        <w:rPr>
          <w:u w:color="FFFF00"/>
        </w:rPr>
        <w:t>38-1</w:t>
      </w:r>
      <w:r w:rsidRPr="00016502">
        <w:rPr>
          <w:u w:color="FFFF00"/>
        </w:rPr>
        <w:t>]</w:t>
      </w:r>
      <w:r w:rsidRPr="008D7C4F">
        <w:t xml:space="preserve"> R1-1802632, “Considerations on random access for non-terrestrial networks”, Interdigital Inc., 3GPP TSG RAN WG1 Meeting #93, Busan, Korea, May 21st – 25th, 2018.</w:t>
      </w:r>
    </w:p>
    <w:p w14:paraId="77113AB6" w14:textId="5E5B9841" w:rsidR="002A1F5B" w:rsidRPr="008D7C4F" w:rsidRDefault="002A1F5B" w:rsidP="002A1F5B">
      <w:r w:rsidRPr="00016502">
        <w:rPr>
          <w:u w:color="FFFF00"/>
        </w:rPr>
        <w:t>[</w:t>
      </w:r>
      <w:r w:rsidR="00D907A3" w:rsidRPr="00016502">
        <w:rPr>
          <w:u w:color="FFFF00"/>
        </w:rPr>
        <w:t>38-2</w:t>
      </w:r>
      <w:r w:rsidRPr="00016502">
        <w:rPr>
          <w:u w:color="FFFF00"/>
        </w:rPr>
        <w:t>]</w:t>
      </w:r>
      <w:r w:rsidRPr="008D7C4F">
        <w:t xml:space="preserve"> R1-1804236, “Discussion on the NR impacts on random access for NTN”, ZTE, 3GPP TSG RAN WG1 Meeting #93, Busan, Korea, May 21st – 25th, 2018.</w:t>
      </w:r>
    </w:p>
    <w:p w14:paraId="6B063F37" w14:textId="7AECDB70" w:rsidR="002A1F5B" w:rsidRPr="008D7C4F" w:rsidRDefault="002A1F5B" w:rsidP="002A1F5B">
      <w:r w:rsidRPr="00016502">
        <w:rPr>
          <w:u w:color="FFFF00"/>
        </w:rPr>
        <w:t>[</w:t>
      </w:r>
      <w:r w:rsidR="00D907A3" w:rsidRPr="00016502">
        <w:rPr>
          <w:u w:color="FFFF00"/>
        </w:rPr>
        <w:t>38-3</w:t>
      </w:r>
      <w:r w:rsidRPr="00016502">
        <w:rPr>
          <w:u w:color="FFFF00"/>
        </w:rPr>
        <w:t>]</w:t>
      </w:r>
      <w:r w:rsidRPr="008D7C4F">
        <w:t xml:space="preserve"> R1-1804822, “On NTN initial access”, Qualcomm Incorporated, 3GPP TSG RAN WG1 Meeting #92bis, Sanya, China, April 16th – 20th, 2018.</w:t>
      </w:r>
    </w:p>
    <w:p w14:paraId="69B41EC8" w14:textId="6BAB521E" w:rsidR="002A1F5B" w:rsidRPr="008D7C4F" w:rsidRDefault="002A1F5B" w:rsidP="002A1F5B">
      <w:r w:rsidRPr="00016502">
        <w:rPr>
          <w:u w:color="FFFF00"/>
        </w:rPr>
        <w:t>[</w:t>
      </w:r>
      <w:r w:rsidR="00D907A3" w:rsidRPr="00016502">
        <w:rPr>
          <w:u w:color="FFFF00"/>
        </w:rPr>
        <w:t>38-4</w:t>
      </w:r>
      <w:r w:rsidRPr="00016502">
        <w:rPr>
          <w:u w:color="FFFF00"/>
        </w:rPr>
        <w:t>]</w:t>
      </w:r>
      <w:r w:rsidRPr="008D7C4F">
        <w:t xml:space="preserve"> R1-1806156, “TP for TR38.811 on random access for NTN”, ZTE, CATR, 3GPP TSG RAN WG1 Meeting #93, Busan, Korea, May 21st – 25th, 2018.</w:t>
      </w:r>
    </w:p>
    <w:p w14:paraId="3E0DDDF6" w14:textId="267A419C" w:rsidR="002A1F5B" w:rsidRPr="008D7C4F" w:rsidRDefault="002A1F5B" w:rsidP="002A1F5B">
      <w:r w:rsidRPr="00016502">
        <w:rPr>
          <w:u w:color="FFFF00"/>
        </w:rPr>
        <w:t>[</w:t>
      </w:r>
      <w:r w:rsidR="00D907A3" w:rsidRPr="00016502">
        <w:rPr>
          <w:u w:color="FFFF00"/>
        </w:rPr>
        <w:t>38-5</w:t>
      </w:r>
      <w:r w:rsidRPr="00016502">
        <w:rPr>
          <w:u w:color="FFFF00"/>
        </w:rPr>
        <w:t>]</w:t>
      </w:r>
      <w:r w:rsidRPr="008D7C4F">
        <w:t xml:space="preserve"> R1-1806750, “Considerations on random access for NTN”, Samsung, 3GPP TSG RAN WG1 Meeting #93, Busan, Korea, May 21st – 25th, 2018.</w:t>
      </w:r>
    </w:p>
    <w:p w14:paraId="3508F126" w14:textId="3B33C920" w:rsidR="002A1F5B" w:rsidRPr="008D7C4F" w:rsidRDefault="002A1F5B" w:rsidP="002A1F5B">
      <w:r w:rsidRPr="00016502">
        <w:rPr>
          <w:u w:color="FFFF00"/>
        </w:rPr>
        <w:t>[</w:t>
      </w:r>
      <w:r w:rsidR="00D907A3" w:rsidRPr="00016502">
        <w:rPr>
          <w:u w:color="FFFF00"/>
        </w:rPr>
        <w:t>38-6</w:t>
      </w:r>
      <w:r w:rsidRPr="00016502">
        <w:rPr>
          <w:u w:color="FFFF00"/>
        </w:rPr>
        <w:t>]</w:t>
      </w:r>
      <w:r w:rsidRPr="008D7C4F">
        <w:t xml:space="preserve"> R1-1806768 “Considerations on timing advance and random access for NTN”, Nokia, Nokia Shanghai Bell, 3GPP TSG RAN WG1 Meeting #93, Busan, Korea, May 21st – 25th, 2018.</w:t>
      </w:r>
    </w:p>
    <w:p w14:paraId="2D3BD7D9" w14:textId="4CB7A718" w:rsidR="000562F8" w:rsidRPr="008D7C4F" w:rsidRDefault="000562F8" w:rsidP="00F35860">
      <w:r w:rsidRPr="008D7C4F">
        <w:t>[</w:t>
      </w:r>
      <w:r w:rsidR="001A5E9E" w:rsidRPr="008D7C4F">
        <w:t>39</w:t>
      </w:r>
      <w:r w:rsidRPr="008D7C4F">
        <w:t>-1]</w:t>
      </w:r>
      <w:r w:rsidRPr="008D7C4F">
        <w:tab/>
        <w:t>3GPP TS 38.213, “NR; Physical layer procedures for control (Release 15)”</w:t>
      </w:r>
    </w:p>
    <w:p w14:paraId="3078CAE3" w14:textId="77777777" w:rsidR="000562F8" w:rsidRPr="008D7C4F" w:rsidRDefault="000562F8" w:rsidP="00144E5C">
      <w:pPr>
        <w:rPr>
          <w:sz w:val="24"/>
          <w:szCs w:val="24"/>
        </w:rPr>
      </w:pPr>
    </w:p>
    <w:p w14:paraId="7DDECE5D" w14:textId="069487EB" w:rsidR="00B17250" w:rsidRPr="008D7C4F" w:rsidRDefault="00CC59C3" w:rsidP="00130EF1">
      <w:pPr>
        <w:pStyle w:val="Titre1"/>
        <w:numPr>
          <w:ilvl w:val="0"/>
          <w:numId w:val="2"/>
        </w:numPr>
        <w:textAlignment w:val="auto"/>
        <w:rPr>
          <w:lang w:val="en-US"/>
        </w:rPr>
      </w:pPr>
      <w:r w:rsidRPr="008D7C4F">
        <w:rPr>
          <w:lang w:val="en-US"/>
        </w:rPr>
        <w:t xml:space="preserve">Possible solutions enabling NR to support </w:t>
      </w:r>
      <w:r w:rsidR="00C05726" w:rsidRPr="008D7C4F">
        <w:rPr>
          <w:lang w:val="en-US"/>
        </w:rPr>
        <w:t>n</w:t>
      </w:r>
      <w:r w:rsidRPr="008D7C4F">
        <w:rPr>
          <w:lang w:val="en-US"/>
        </w:rPr>
        <w:t>on-</w:t>
      </w:r>
      <w:r w:rsidR="00C05726" w:rsidRPr="008D7C4F">
        <w:rPr>
          <w:lang w:val="en-US"/>
        </w:rPr>
        <w:t>t</w:t>
      </w:r>
      <w:r w:rsidRPr="008D7C4F">
        <w:rPr>
          <w:lang w:val="en-US"/>
        </w:rPr>
        <w:t>errestrial network</w:t>
      </w:r>
      <w:r w:rsidR="00426BC6" w:rsidRPr="008D7C4F">
        <w:rPr>
          <w:lang w:val="en-US"/>
        </w:rPr>
        <w:t>s</w:t>
      </w:r>
    </w:p>
    <w:p w14:paraId="11056901" w14:textId="5F7A5356" w:rsidR="001863DE" w:rsidRPr="008D7C4F" w:rsidRDefault="001863DE" w:rsidP="001863DE">
      <w:pPr>
        <w:pStyle w:val="Titre2"/>
        <w:pBdr>
          <w:top w:val="none" w:sz="0" w:space="0" w:color="auto"/>
        </w:pBdr>
        <w:overflowPunct w:val="0"/>
        <w:autoSpaceDE w:val="0"/>
        <w:autoSpaceDN w:val="0"/>
        <w:adjustRightInd w:val="0"/>
        <w:rPr>
          <w:rFonts w:eastAsia="SimSun" w:cs="Times New Roman"/>
          <w:color w:val="auto"/>
          <w:szCs w:val="20"/>
          <w:lang w:eastAsia="en-US"/>
        </w:rPr>
      </w:pPr>
      <w:r w:rsidRPr="008D7C4F">
        <w:rPr>
          <w:rFonts w:eastAsia="SimSun" w:cs="Times New Roman"/>
          <w:color w:val="auto"/>
          <w:szCs w:val="20"/>
          <w:lang w:val="en-US" w:eastAsia="en-US"/>
        </w:rPr>
        <w:t>3</w:t>
      </w:r>
      <w:r w:rsidRPr="008D7C4F">
        <w:rPr>
          <w:rFonts w:eastAsia="SimSun" w:cs="Times New Roman"/>
          <w:color w:val="auto"/>
          <w:szCs w:val="20"/>
          <w:lang w:eastAsia="en-US"/>
        </w:rPr>
        <w:t>.</w:t>
      </w:r>
      <w:r w:rsidR="00636297" w:rsidRPr="008D7C4F">
        <w:rPr>
          <w:rFonts w:eastAsia="SimSun" w:cs="Times New Roman"/>
          <w:color w:val="auto"/>
          <w:szCs w:val="20"/>
          <w:lang w:eastAsia="en-US"/>
        </w:rPr>
        <w:t>1</w:t>
      </w:r>
      <w:r w:rsidRPr="008D7C4F">
        <w:rPr>
          <w:rFonts w:eastAsia="SimSun" w:cs="Times New Roman"/>
          <w:color w:val="auto"/>
          <w:szCs w:val="20"/>
          <w:lang w:eastAsia="en-US"/>
        </w:rPr>
        <w:t xml:space="preserve"> Hand-Over and paging</w:t>
      </w:r>
    </w:p>
    <w:p w14:paraId="179A10C0" w14:textId="77777777" w:rsidR="001863DE" w:rsidRPr="008D7C4F" w:rsidRDefault="001863DE" w:rsidP="001863DE">
      <w:pPr>
        <w:spacing w:line="256" w:lineRule="auto"/>
        <w:jc w:val="both"/>
        <w:rPr>
          <w:rFonts w:ascii="Calibri" w:eastAsia="Calibri" w:hAnsi="Calibri" w:cs="Calibri"/>
        </w:rPr>
      </w:pPr>
      <w:r w:rsidRPr="008D7C4F">
        <w:rPr>
          <w:rFonts w:ascii="Calibri" w:eastAsia="Calibri" w:hAnsi="Calibri" w:cs="Calibri"/>
        </w:rPr>
        <w:t>The following describes in some details how handover and paging may</w:t>
      </w:r>
      <w:r w:rsidRPr="008D7C4F">
        <w:rPr>
          <w:rFonts w:ascii="Calibri" w:eastAsia="Calibri" w:hAnsi="Calibri" w:cs="Calibri"/>
          <w:lang w:val="en-GB"/>
        </w:rPr>
        <w:t xml:space="preserve"> operate successfully and efficiently in the NGSO satellite networks, assuming the NR UEs are capable of geo-location and </w:t>
      </w:r>
      <w:r w:rsidRPr="008D7C4F">
        <w:rPr>
          <w:rFonts w:ascii="Calibri" w:eastAsia="Calibri" w:hAnsi="Calibri" w:cs="Calibri"/>
        </w:rPr>
        <w:t>the ephemeris information of the NGSO satellites can be made available to the satellite RAN</w:t>
      </w:r>
      <w:r w:rsidRPr="008D7C4F">
        <w:rPr>
          <w:rFonts w:ascii="Calibri" w:eastAsia="Calibri" w:hAnsi="Calibri" w:cs="Calibri"/>
          <w:lang w:val="en-GB"/>
        </w:rPr>
        <w:t xml:space="preserve">. (For fixed installations, UE locations can be reported once at time of installation.) </w:t>
      </w:r>
    </w:p>
    <w:p w14:paraId="0C8150DF" w14:textId="77777777" w:rsidR="001863DE" w:rsidRPr="008D7C4F" w:rsidRDefault="001863DE" w:rsidP="001863DE">
      <w:pPr>
        <w:spacing w:line="256" w:lineRule="auto"/>
        <w:jc w:val="both"/>
        <w:rPr>
          <w:rFonts w:ascii="Calibri" w:eastAsia="Calibri" w:hAnsi="Calibri" w:cs="Calibri"/>
        </w:rPr>
      </w:pPr>
      <w:r w:rsidRPr="008D7C4F">
        <w:rPr>
          <w:rFonts w:ascii="Calibri" w:eastAsia="Calibri" w:hAnsi="Calibri" w:cs="Calibri"/>
        </w:rPr>
        <w:t xml:space="preserve">The ephemeris information of the NGSO satellites may be used to determine their footprints of each beam, and its velocity all the time. Therefore, for a given UE location at any given time, the network has information as to which beam of which satellite covers that location best.  It also knows the duration that UE location would remain to be covered by the beam and which beam on the same satellite, or a different satellite will be the best candidate to switch over next, and at what time. </w:t>
      </w:r>
    </w:p>
    <w:p w14:paraId="58083A8D" w14:textId="77777777" w:rsidR="001863DE" w:rsidRPr="008D7C4F" w:rsidRDefault="001863DE" w:rsidP="001863DE">
      <w:pPr>
        <w:spacing w:line="256" w:lineRule="auto"/>
        <w:jc w:val="both"/>
        <w:rPr>
          <w:rFonts w:ascii="Calibri" w:eastAsia="Calibri" w:hAnsi="Calibri" w:cs="Calibri"/>
          <w:i/>
          <w:lang w:val="en-GB"/>
        </w:rPr>
      </w:pPr>
      <w:r w:rsidRPr="008D7C4F">
        <w:rPr>
          <w:rFonts w:ascii="Calibri" w:eastAsia="Calibri" w:hAnsi="Calibri" w:cs="Calibri"/>
        </w:rPr>
        <w:lastRenderedPageBreak/>
        <w:t>With positioning information of all UEs available to the network, the need for measurement reports for use in triggering handovers can be dispensed.  It is possible to simplify the handoff procedure and reduce the overhead required by preprogrammed or anticipated beam coverage based on satellite motions.</w:t>
      </w:r>
    </w:p>
    <w:p w14:paraId="4EBB0E43" w14:textId="77777777" w:rsidR="001863DE" w:rsidRPr="008D7C4F" w:rsidRDefault="001863DE" w:rsidP="001863DE">
      <w:pPr>
        <w:spacing w:line="256" w:lineRule="auto"/>
        <w:jc w:val="both"/>
        <w:rPr>
          <w:rFonts w:ascii="Calibri" w:eastAsia="Calibri" w:hAnsi="Calibri" w:cs="Calibri"/>
        </w:rPr>
      </w:pPr>
      <w:r w:rsidRPr="008D7C4F">
        <w:rPr>
          <w:rFonts w:ascii="Calibri" w:eastAsia="SimSun" w:hAnsi="Calibri" w:cs="Calibri"/>
        </w:rPr>
        <w:t>For paging, similar to handover, given the UE location,</w:t>
      </w:r>
      <w:r w:rsidRPr="008D7C4F">
        <w:rPr>
          <w:rFonts w:ascii="Calibri" w:eastAsia="Calibri" w:hAnsi="Calibri" w:cs="Calibri"/>
        </w:rPr>
        <w:t xml:space="preserve"> Satellite RAN determines the Tracking Area information and provides it to Access Mobility Management Function (AMF) similar to that provided by RAN in NR.  AMF responds to UE with a list of tracking areas, or registration area that the UE is allowed to move without a need to inform the network when UE is in CM-Idle state. Given that tracking areas are defined on the ground and Non-GEO beams are moving, there is no one-to-one correspondence between moving beams and fixed tracking areas or registration areas on the ground. </w:t>
      </w:r>
    </w:p>
    <w:p w14:paraId="791EEE69" w14:textId="337F433A" w:rsidR="001863DE" w:rsidRPr="008D7C4F" w:rsidRDefault="001863DE" w:rsidP="001863DE">
      <w:pPr>
        <w:spacing w:line="256" w:lineRule="auto"/>
        <w:jc w:val="both"/>
      </w:pPr>
      <w:r w:rsidRPr="008D7C4F">
        <w:t>In CM-IDLE state, when a UE moves out of the Registration Area, UE is required to notify the AMF via a Registration procedure. In NR, a U</w:t>
      </w:r>
      <w:r w:rsidR="009A4A68" w:rsidRPr="008D7C4F">
        <w:t>E</w:t>
      </w:r>
      <w:r w:rsidRPr="008D7C4F">
        <w:t xml:space="preserve"> discovers that it has moved out of the current Registration Area by listening to the System Information Broadcast (SIB) in the current radio cell. SIB transmitted by RAN contains Tracking Area information. If the Tracking area information received on SIB does not belong to the Tracking Area list provided by AMF, then UE executes a Registration procedure providing the current tracking area details to AMF. The AMF then sends a new Tracking Area list (Registration Area) to UE. This allows the AMF to page in the most recently known Registration Area. </w:t>
      </w:r>
    </w:p>
    <w:p w14:paraId="32AD3CB0" w14:textId="77777777" w:rsidR="001863DE" w:rsidRPr="008D7C4F" w:rsidRDefault="001863DE" w:rsidP="001863DE">
      <w:pPr>
        <w:spacing w:line="256" w:lineRule="auto"/>
        <w:jc w:val="both"/>
        <w:rPr>
          <w:rFonts w:ascii="Calibri" w:eastAsia="Calibri" w:hAnsi="Calibri" w:cs="Calibri"/>
        </w:rPr>
      </w:pPr>
      <w:r w:rsidRPr="008D7C4F">
        <w:t xml:space="preserve">For NGSO, without the one-to-one correspondence between a Tracking Area and a beam, </w:t>
      </w:r>
      <w:r w:rsidRPr="008D7C4F">
        <w:rPr>
          <w:rFonts w:ascii="Calibri" w:eastAsia="Calibri" w:hAnsi="Calibri" w:cs="Calibri"/>
        </w:rPr>
        <w:t>one way to inform UE about its Tracking Area Contour (TAC) is to broadcast the TACs and their vertices that the beam is touching and UE compares its own location with broadcasted vertices to determine its TAC. Another way is for Satellite RAN to supply TAC information to UE.  Both approaches require overhead for such transmission.  To minimize the transmission overhead, the UE in LEO/MEO satellite systems may update Satellite RAN about its current geo-location after it has moved a certain threshold distance since its last update. Satellite RAN provides a response to UE that will allow UE to determine if it needs to perform a registration area update using existing Registration procedures. To this end, the UE can provide information about Registration Area (that it had received from AMF as part of initial registration procedure) to Satellite RAN.  With this approach, the AMF is aware of the UE location with a granularity of the threshold distance, say TH km, all the time, while most of the NR handoff and paging protocols can be maintained with some modification with knowledge of the UE location and satellite ephemeris information.</w:t>
      </w:r>
    </w:p>
    <w:p w14:paraId="3AFE003C" w14:textId="2752DA69" w:rsidR="001863DE" w:rsidRPr="008D7C4F" w:rsidRDefault="001863DE" w:rsidP="001863DE">
      <w:pPr>
        <w:jc w:val="both"/>
      </w:pPr>
      <w:r w:rsidRPr="008D7C4F">
        <w:t>When there is an incoming packet to a U</w:t>
      </w:r>
      <w:r w:rsidR="009A4A68" w:rsidRPr="008D7C4F">
        <w:t>E</w:t>
      </w:r>
      <w:r w:rsidRPr="008D7C4F">
        <w:t xml:space="preserve"> in CM-IDLE state, the AMF will send a page to SRAN along with Registration Area information.  The SRAN is aware of all the beams and satellites that cover the Registration Area and can therefore transmit a page in all beams and satellites covering the Registration Area.  To minimize the number of beams that must send the page, it is possible to for the SRAN caches the UE position whenever it receives location information from UE. This location is maintained in the database even when the U</w:t>
      </w:r>
      <w:r w:rsidR="009A4A68" w:rsidRPr="008D7C4F">
        <w:t>E</w:t>
      </w:r>
      <w:r w:rsidRPr="008D7C4F">
        <w:t xml:space="preserve"> goes to CM-IDLE state. When Page arrives from AMF in CM-IDLE state, SRAN queries the location database, determines the beam that covers the last reported position of the</w:t>
      </w:r>
      <w:r w:rsidR="009A4A68" w:rsidRPr="008D7C4F">
        <w:t xml:space="preserve"> UE </w:t>
      </w:r>
      <w:r w:rsidRPr="008D7C4F">
        <w:t xml:space="preserve">and pages on only on that beam and not the entire Registration Area. </w:t>
      </w:r>
    </w:p>
    <w:p w14:paraId="3D5BBE89" w14:textId="2B59EA53" w:rsidR="001863DE" w:rsidRPr="008D7C4F" w:rsidRDefault="001863DE" w:rsidP="001863DE">
      <w:pPr>
        <w:jc w:val="both"/>
        <w:rPr>
          <w:b/>
          <w:i/>
          <w:sz w:val="20"/>
          <w:szCs w:val="20"/>
        </w:rPr>
      </w:pPr>
      <w:r w:rsidRPr="008D7C4F">
        <w:t>This is illustrated in Figure 1. The corresponding simplified call flow is illustrated in Figure 2. Items in red font in Figure 6 are the key changes to terrestrial protocol. It is important to note however that the changes are all in the Access Stratum between U</w:t>
      </w:r>
      <w:r w:rsidR="009A4A68" w:rsidRPr="008D7C4F">
        <w:t>E</w:t>
      </w:r>
      <w:r w:rsidRPr="008D7C4F">
        <w:t xml:space="preserve"> and SRAN. No modifications are required to NR elements. If there is no page response, SRAN dilates the paging area to include the </w:t>
      </w:r>
      <w:r w:rsidRPr="008D7C4F">
        <w:rPr>
          <w:highlight w:val="yellow"/>
        </w:rPr>
        <w:t>TH</w:t>
      </w:r>
      <w:r w:rsidRPr="008D7C4F">
        <w:t xml:space="preserve"> km of ambiguity </w:t>
      </w:r>
      <w:r w:rsidRPr="008D7C4F">
        <w:lastRenderedPageBreak/>
        <w:t>in its location since last reporting. Paging from AMF identifies a U</w:t>
      </w:r>
      <w:r w:rsidR="009A4A68" w:rsidRPr="008D7C4F">
        <w:t>E</w:t>
      </w:r>
      <w:r w:rsidRPr="008D7C4F">
        <w:t xml:space="preserve"> by its S-TMSI. This allocation is only known to AMF and U</w:t>
      </w:r>
      <w:r w:rsidR="009A4A68" w:rsidRPr="008D7C4F">
        <w:t>E</w:t>
      </w:r>
      <w:r w:rsidRPr="008D7C4F">
        <w:t xml:space="preserve">. In order for SRAN to look up the database, it needs knowledge of S-TMSI. This information is provided to SRAN by </w:t>
      </w:r>
      <w:r w:rsidR="009A4A68" w:rsidRPr="008D7C4F">
        <w:t>UE</w:t>
      </w:r>
      <w:r w:rsidRPr="008D7C4F">
        <w:t xml:space="preserve"> along with location reporting. </w:t>
      </w:r>
    </w:p>
    <w:p w14:paraId="03A96537" w14:textId="77777777" w:rsidR="001863DE" w:rsidRPr="008D7C4F" w:rsidRDefault="001863DE" w:rsidP="001863DE">
      <w:r w:rsidRPr="00CB77CC">
        <w:rPr>
          <w:noProof/>
          <w:lang w:val="en-GB" w:eastAsia="en-GB"/>
        </w:rPr>
        <w:drawing>
          <wp:inline distT="0" distB="0" distL="0" distR="0" wp14:anchorId="4CACBDA0" wp14:editId="19F376D3">
            <wp:extent cx="5557520" cy="24626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5299" cy="2470513"/>
                    </a:xfrm>
                    <a:prstGeom prst="rect">
                      <a:avLst/>
                    </a:prstGeom>
                    <a:noFill/>
                  </pic:spPr>
                </pic:pic>
              </a:graphicData>
            </a:graphic>
          </wp:inline>
        </w:drawing>
      </w:r>
    </w:p>
    <w:p w14:paraId="149CA17C" w14:textId="77777777" w:rsidR="001863DE" w:rsidRPr="008D7C4F" w:rsidRDefault="001863DE" w:rsidP="001863DE">
      <w:pPr>
        <w:jc w:val="center"/>
        <w:rPr>
          <w:b/>
          <w:i/>
          <w:sz w:val="20"/>
          <w:szCs w:val="20"/>
        </w:rPr>
      </w:pPr>
      <w:r w:rsidRPr="008D7C4F">
        <w:rPr>
          <w:b/>
          <w:i/>
          <w:sz w:val="20"/>
          <w:szCs w:val="20"/>
        </w:rPr>
        <w:t>Figure 1.. Satellite beam in which Paging will occur based on last reported position</w:t>
      </w:r>
    </w:p>
    <w:p w14:paraId="57EBD5DB" w14:textId="77777777" w:rsidR="001863DE" w:rsidRPr="008D7C4F" w:rsidRDefault="001863DE" w:rsidP="001863DE"/>
    <w:p w14:paraId="0D781B29" w14:textId="77777777" w:rsidR="001863DE" w:rsidRPr="008D7C4F" w:rsidRDefault="001863DE" w:rsidP="001863DE">
      <w:r w:rsidRPr="00CB77CC">
        <w:rPr>
          <w:noProof/>
          <w:lang w:val="en-GB" w:eastAsia="en-GB"/>
        </w:rPr>
        <w:drawing>
          <wp:inline distT="0" distB="0" distL="0" distR="0" wp14:anchorId="2C222C02" wp14:editId="35FF1AC6">
            <wp:extent cx="6471500" cy="401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9718" cy="4024654"/>
                    </a:xfrm>
                    <a:prstGeom prst="rect">
                      <a:avLst/>
                    </a:prstGeom>
                    <a:noFill/>
                  </pic:spPr>
                </pic:pic>
              </a:graphicData>
            </a:graphic>
          </wp:inline>
        </w:drawing>
      </w:r>
    </w:p>
    <w:p w14:paraId="53B6BD40" w14:textId="77777777" w:rsidR="001863DE" w:rsidRPr="008D7C4F" w:rsidRDefault="001863DE" w:rsidP="001863DE">
      <w:pPr>
        <w:jc w:val="center"/>
        <w:rPr>
          <w:b/>
          <w:i/>
          <w:sz w:val="20"/>
          <w:szCs w:val="20"/>
        </w:rPr>
      </w:pPr>
      <w:r w:rsidRPr="008D7C4F">
        <w:rPr>
          <w:b/>
          <w:i/>
          <w:sz w:val="20"/>
          <w:szCs w:val="20"/>
        </w:rPr>
        <w:t>Figure 2. Simplified Call Flow for Paging and Registration in LEO/MEO Satellite System in CM-IDLE State</w:t>
      </w:r>
    </w:p>
    <w:p w14:paraId="2487136C" w14:textId="3C920EB9" w:rsidR="001863DE" w:rsidRPr="008D7C4F" w:rsidRDefault="001863DE" w:rsidP="001863DE">
      <w:pPr>
        <w:rPr>
          <w:rFonts w:eastAsia="Arial Unicode MS"/>
        </w:rPr>
      </w:pPr>
      <w:r w:rsidRPr="008D7C4F">
        <w:lastRenderedPageBreak/>
        <w:t>In NR, paging can also occur when</w:t>
      </w:r>
      <w:r w:rsidR="009A4A68" w:rsidRPr="008D7C4F">
        <w:t xml:space="preserve"> UE </w:t>
      </w:r>
      <w:r w:rsidRPr="008D7C4F">
        <w:t xml:space="preserve">is in CM-CONNECTED state, but </w:t>
      </w:r>
      <w:r w:rsidRPr="008D7C4F">
        <w:rPr>
          <w:rFonts w:eastAsia="Arial Unicode MS"/>
          <w:lang w:eastAsia="zh-CN"/>
        </w:rPr>
        <w:t xml:space="preserve">RRC Inactive </w:t>
      </w:r>
      <w:r w:rsidRPr="008D7C4F">
        <w:t>state [</w:t>
      </w:r>
      <w:r w:rsidR="001A5E9E" w:rsidRPr="008D7C4F">
        <w:t>31-1</w:t>
      </w:r>
      <w:r w:rsidRPr="008D7C4F">
        <w:t>]. In this case, the AMF does not page the</w:t>
      </w:r>
      <w:r w:rsidR="009A4A68" w:rsidRPr="008D7C4F">
        <w:t xml:space="preserve"> UE,</w:t>
      </w:r>
      <w:r w:rsidRPr="008D7C4F">
        <w:t xml:space="preserve"> however SRAN initiates the Page. </w:t>
      </w:r>
      <w:r w:rsidRPr="008D7C4F">
        <w:rPr>
          <w:rFonts w:eastAsia="Arial Unicode MS"/>
        </w:rPr>
        <w:t>The location of a UE in RRC Inactive state is known by the SRAN on a S</w:t>
      </w:r>
      <w:r w:rsidRPr="008D7C4F">
        <w:t xml:space="preserve">RAN </w:t>
      </w:r>
      <w:r w:rsidRPr="008D7C4F">
        <w:rPr>
          <w:lang w:eastAsia="zh-CN"/>
        </w:rPr>
        <w:t>N</w:t>
      </w:r>
      <w:r w:rsidRPr="008D7C4F">
        <w:t xml:space="preserve">otification area </w:t>
      </w:r>
      <w:r w:rsidRPr="008D7C4F">
        <w:rPr>
          <w:rFonts w:eastAsia="Arial Unicode MS"/>
        </w:rPr>
        <w:t>granularity.</w:t>
      </w:r>
      <w:r w:rsidRPr="008D7C4F">
        <w:t xml:space="preserve"> </w:t>
      </w:r>
      <w:r w:rsidRPr="008D7C4F">
        <w:rPr>
          <w:rFonts w:eastAsia="Arial Unicode MS"/>
        </w:rPr>
        <w:t>A UE in RRC Inactive state is paged in cells of the S</w:t>
      </w:r>
      <w:r w:rsidRPr="008D7C4F">
        <w:t xml:space="preserve">RAN </w:t>
      </w:r>
      <w:r w:rsidRPr="008D7C4F">
        <w:rPr>
          <w:lang w:eastAsia="zh-CN"/>
        </w:rPr>
        <w:t>N</w:t>
      </w:r>
      <w:r w:rsidRPr="008D7C4F">
        <w:t xml:space="preserve">otification area </w:t>
      </w:r>
      <w:r w:rsidRPr="008D7C4F">
        <w:rPr>
          <w:rFonts w:eastAsia="Arial Unicode MS"/>
        </w:rPr>
        <w:t>that is assigned to the UEs. The UE location reporting procedure and SRAN paging techniques described for CM-IDLE state also applies to CM-CONNECTED state, RRC Inactive state. This is illustrated in Figure 3.</w:t>
      </w:r>
    </w:p>
    <w:p w14:paraId="6D00E189" w14:textId="77777777" w:rsidR="001863DE" w:rsidRPr="008D7C4F" w:rsidRDefault="001863DE" w:rsidP="001863DE">
      <w:r w:rsidRPr="008D7C4F">
        <w:t>SRAN further optimizes paging performance based on user terminal mobility attributes. As an example, for stationary terminals, SRAN only pages on the beams based on its last reported position. For user terminals with higher mobility, paging dilation is performed in beams that cover TH km of ambiguity. Furthermore, SRAN may page with different levels of penetration to different user terminal types and for different traffic types.</w:t>
      </w:r>
    </w:p>
    <w:p w14:paraId="55D933AA" w14:textId="77777777" w:rsidR="001863DE" w:rsidRPr="008D7C4F" w:rsidRDefault="001863DE" w:rsidP="001863DE"/>
    <w:p w14:paraId="089FD402" w14:textId="77777777" w:rsidR="001863DE" w:rsidRPr="008D7C4F" w:rsidRDefault="001863DE" w:rsidP="001863DE">
      <w:r w:rsidRPr="00CB77CC">
        <w:rPr>
          <w:noProof/>
          <w:lang w:val="en-GB" w:eastAsia="en-GB"/>
        </w:rPr>
        <w:drawing>
          <wp:inline distT="0" distB="0" distL="0" distR="0" wp14:anchorId="16B2F3CD" wp14:editId="6A3FB917">
            <wp:extent cx="6129020" cy="3747621"/>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7967" cy="3753092"/>
                    </a:xfrm>
                    <a:prstGeom prst="rect">
                      <a:avLst/>
                    </a:prstGeom>
                    <a:noFill/>
                  </pic:spPr>
                </pic:pic>
              </a:graphicData>
            </a:graphic>
          </wp:inline>
        </w:drawing>
      </w:r>
    </w:p>
    <w:p w14:paraId="7694FCA2" w14:textId="77777777" w:rsidR="001863DE" w:rsidRPr="008D7C4F" w:rsidRDefault="001863DE" w:rsidP="001863DE">
      <w:pPr>
        <w:jc w:val="center"/>
        <w:rPr>
          <w:b/>
          <w:i/>
          <w:sz w:val="20"/>
          <w:szCs w:val="20"/>
        </w:rPr>
      </w:pPr>
      <w:r w:rsidRPr="008D7C4F">
        <w:rPr>
          <w:b/>
          <w:i/>
          <w:sz w:val="20"/>
          <w:szCs w:val="20"/>
        </w:rPr>
        <w:t>Figure 3. Simplified Call Flow for Paging in LEO/MEO Satellite System in CM-CONNECTED RRC-INACTIVE State</w:t>
      </w:r>
    </w:p>
    <w:p w14:paraId="39EF8810" w14:textId="77777777" w:rsidR="00FF214D" w:rsidRPr="008D7C4F" w:rsidRDefault="00FF214D" w:rsidP="00FC2FB6">
      <w:pPr>
        <w:jc w:val="both"/>
      </w:pPr>
    </w:p>
    <w:p w14:paraId="2FD096A1" w14:textId="0F4D6D57" w:rsidR="00FC2FB6" w:rsidRPr="008D7C4F" w:rsidRDefault="00FC2FB6" w:rsidP="00FC2FB6">
      <w:pPr>
        <w:pStyle w:val="Titre2"/>
        <w:pBdr>
          <w:top w:val="none" w:sz="0" w:space="0" w:color="auto"/>
        </w:pBdr>
        <w:overflowPunct w:val="0"/>
        <w:autoSpaceDE w:val="0"/>
        <w:autoSpaceDN w:val="0"/>
        <w:adjustRightInd w:val="0"/>
        <w:rPr>
          <w:rFonts w:eastAsia="SimSun" w:cs="Times New Roman"/>
          <w:color w:val="auto"/>
          <w:szCs w:val="20"/>
          <w:lang w:eastAsia="en-US"/>
        </w:rPr>
      </w:pPr>
      <w:r w:rsidRPr="008D7C4F">
        <w:rPr>
          <w:rFonts w:eastAsia="SimSun" w:cs="Times New Roman"/>
          <w:color w:val="auto"/>
          <w:szCs w:val="20"/>
          <w:lang w:eastAsia="en-US"/>
        </w:rPr>
        <w:t>3.</w:t>
      </w:r>
      <w:r w:rsidR="00636297" w:rsidRPr="008D7C4F">
        <w:rPr>
          <w:rFonts w:eastAsia="SimSun" w:cs="Times New Roman"/>
          <w:color w:val="auto"/>
          <w:szCs w:val="20"/>
          <w:lang w:eastAsia="en-US"/>
        </w:rPr>
        <w:t>2</w:t>
      </w:r>
      <w:r w:rsidRPr="008D7C4F">
        <w:rPr>
          <w:rFonts w:eastAsia="SimSun" w:cs="Times New Roman"/>
          <w:color w:val="auto"/>
          <w:szCs w:val="20"/>
          <w:lang w:eastAsia="en-US"/>
        </w:rPr>
        <w:t xml:space="preserve"> TA adjustment in case of NGSO</w:t>
      </w:r>
    </w:p>
    <w:p w14:paraId="6C148D88" w14:textId="2D0E5902" w:rsidR="001863DE" w:rsidRPr="008D7C4F" w:rsidRDefault="001863DE" w:rsidP="00FF214D">
      <w:pPr>
        <w:jc w:val="both"/>
      </w:pPr>
      <w:bookmarkStart w:id="2" w:name="_Toc494837626"/>
      <w:bookmarkStart w:id="3" w:name="_Toc509391306"/>
      <w:bookmarkStart w:id="4" w:name="_Toc509391453"/>
      <w:bookmarkStart w:id="5" w:name="_Toc509391542"/>
      <w:bookmarkStart w:id="6" w:name="_Toc509391619"/>
      <w:bookmarkStart w:id="7" w:name="_Toc509391701"/>
      <w:bookmarkStart w:id="8" w:name="_Toc509392156"/>
      <w:bookmarkStart w:id="9" w:name="_Toc509476528"/>
      <w:r w:rsidRPr="008D7C4F">
        <w:t xml:space="preserve">A strong delay variation is caused by moving satellites generating a fast change in the overall distance of the radio link between UE and BS via satellite. The delay is much higher and variable over a satellite radio link than over a terrestrial radio link. This delay largely exceeds the TTI (Equivalent to one frame) of NR which is equal to or less than 1 ms. However, the delay variation is quite predictable knowing the satellite orbits and UE position. The timing advance command could be anticipated so that when </w:t>
      </w:r>
      <w:r w:rsidRPr="008D7C4F">
        <w:lastRenderedPageBreak/>
        <w:t>received by the UE, it takes into account the propagation delay time and the actual position of the NGSO satellite.</w:t>
      </w:r>
    </w:p>
    <w:p w14:paraId="642AAF16" w14:textId="77777777" w:rsidR="00FF214D" w:rsidRPr="008D7C4F" w:rsidRDefault="00FF214D" w:rsidP="00FF214D">
      <w:pPr>
        <w:jc w:val="both"/>
      </w:pPr>
    </w:p>
    <w:p w14:paraId="73B5CEB8" w14:textId="46F1A755" w:rsidR="00E17A6E" w:rsidRPr="008D7C4F" w:rsidRDefault="0058106F" w:rsidP="00E17A6E">
      <w:pPr>
        <w:pStyle w:val="Titre2"/>
        <w:pBdr>
          <w:top w:val="none" w:sz="0" w:space="0" w:color="auto"/>
        </w:pBdr>
        <w:overflowPunct w:val="0"/>
        <w:autoSpaceDE w:val="0"/>
        <w:autoSpaceDN w:val="0"/>
        <w:adjustRightInd w:val="0"/>
        <w:rPr>
          <w:rFonts w:eastAsia="SimSun" w:cs="Times New Roman"/>
          <w:color w:val="auto"/>
          <w:szCs w:val="20"/>
          <w:lang w:eastAsia="en-US"/>
        </w:rPr>
      </w:pPr>
      <w:r w:rsidRPr="008D7C4F">
        <w:rPr>
          <w:rFonts w:eastAsia="SimSun" w:cs="Times New Roman"/>
          <w:color w:val="auto"/>
          <w:szCs w:val="20"/>
          <w:lang w:eastAsia="en-US"/>
        </w:rPr>
        <w:t>3.</w:t>
      </w:r>
      <w:r w:rsidR="00636297" w:rsidRPr="008D7C4F">
        <w:rPr>
          <w:rFonts w:eastAsia="SimSun" w:cs="Times New Roman"/>
          <w:color w:val="auto"/>
          <w:szCs w:val="20"/>
          <w:lang w:eastAsia="en-US"/>
        </w:rPr>
        <w:t>3</w:t>
      </w:r>
      <w:r w:rsidR="00E17A6E" w:rsidRPr="008D7C4F">
        <w:rPr>
          <w:rFonts w:eastAsia="SimSun" w:cs="Times New Roman"/>
          <w:color w:val="auto"/>
          <w:szCs w:val="20"/>
          <w:lang w:eastAsia="en-US"/>
        </w:rPr>
        <w:t xml:space="preserve"> </w:t>
      </w:r>
      <w:r w:rsidR="00E17A6E" w:rsidRPr="008D7C4F">
        <w:t>Initial synchronization in downlink</w:t>
      </w:r>
    </w:p>
    <w:p w14:paraId="20C856D7" w14:textId="77777777" w:rsidR="00E17A6E" w:rsidRPr="008D7C4F" w:rsidRDefault="00E17A6E" w:rsidP="00E17A6E">
      <w:pPr>
        <w:jc w:val="both"/>
      </w:pPr>
      <w:r w:rsidRPr="008D7C4F">
        <w:t>In case the altitude of the satellite or the number of beams is not sufficient to reach the maximum requirement of 5 ppm, 2 approaches should be considered:</w:t>
      </w:r>
    </w:p>
    <w:p w14:paraId="40B84275" w14:textId="77777777" w:rsidR="00E17A6E" w:rsidRPr="008D7C4F" w:rsidRDefault="00E17A6E" w:rsidP="00E17A6E">
      <w:pPr>
        <w:pStyle w:val="Paragraphedeliste"/>
        <w:numPr>
          <w:ilvl w:val="0"/>
          <w:numId w:val="9"/>
        </w:numPr>
        <w:jc w:val="both"/>
      </w:pPr>
      <w:r w:rsidRPr="008D7C4F">
        <w:t>Doppler shift pre-compensation in NTN network infrastructure (on board or on ground) or in NTN enable UE (with a GNSS receiver);</w:t>
      </w:r>
    </w:p>
    <w:p w14:paraId="77DA5FDD" w14:textId="77777777" w:rsidR="00E17A6E" w:rsidRPr="008D7C4F" w:rsidRDefault="00E17A6E" w:rsidP="00E17A6E">
      <w:pPr>
        <w:pStyle w:val="Paragraphedeliste"/>
        <w:numPr>
          <w:ilvl w:val="0"/>
          <w:numId w:val="9"/>
        </w:numPr>
        <w:jc w:val="both"/>
        <w:rPr>
          <w:lang w:eastAsia="zh-CN"/>
        </w:rPr>
      </w:pPr>
      <w:r w:rsidRPr="008D7C4F">
        <w:t>Search for PSS signal with different frequency carrier offsets.</w:t>
      </w:r>
    </w:p>
    <w:p w14:paraId="0F9C8791" w14:textId="77777777" w:rsidR="00E17A6E" w:rsidRPr="008D7C4F" w:rsidRDefault="00E17A6E" w:rsidP="00E17A6E">
      <w:pPr>
        <w:jc w:val="both"/>
      </w:pPr>
      <w:r w:rsidRPr="008D7C4F">
        <w:t>A Doppler shift pre-compensation can be achieved per cell (beam foot print). Knowing the ephemeris of the LEO satellite and the foot print, specific frequency correction can be applied in each beam foot print by the NTN network infrastructure (on board or on ground).</w:t>
      </w:r>
    </w:p>
    <w:p w14:paraId="030976E8" w14:textId="77777777" w:rsidR="00E17A6E" w:rsidRPr="008D7C4F" w:rsidRDefault="00E17A6E" w:rsidP="00E17A6E">
      <w:pPr>
        <w:jc w:val="both"/>
      </w:pPr>
      <w:r w:rsidRPr="008D7C4F">
        <w:t>Doppler shift pre-compensation can also or alternatively be achieved with the implementation of a GNSS receiver in the NTN enabled UE and the processing of ephemeris of the satellite constellation stored.</w:t>
      </w:r>
    </w:p>
    <w:p w14:paraId="4DC75933" w14:textId="4A4BA23A" w:rsidR="00E17A6E" w:rsidRPr="008D7C4F" w:rsidRDefault="00E17A6E" w:rsidP="00FF214D">
      <w:pPr>
        <w:jc w:val="both"/>
      </w:pPr>
      <w:r w:rsidRPr="008D7C4F">
        <w:t>Another solution discussed is the search for PSS signal with different frequency offset. For example in S band, the maximum Doppler shift is +/- 48 kHz. To fall back on +/-28 kHz residual error offset, different search could be run with k={-1;0;1}, and central frequency of search is: F</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0</m:t>
            </m:r>
          </m:sub>
        </m:sSub>
        <m:r>
          <m:rPr>
            <m:sty m:val="p"/>
          </m:rPr>
          <w:rPr>
            <w:rFonts w:ascii="Cambria Math" w:hAnsi="Cambria Math"/>
          </w:rPr>
          <m:t>+2k×28 kHz</m:t>
        </m:r>
      </m:oMath>
      <w:r w:rsidRPr="008D7C4F">
        <w:t xml:space="preserve"> . The same could be done in Ka band: the maximum Doppler shift is +/- 480 kHz. If SCS is 240 kHz, to get good performance, +/-112 kHz residual error offset should be obtained. In that case,  different search could be run with k={-2;-1;0;1;2}, and central frequency of search is: F</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0</m:t>
            </m:r>
          </m:sub>
        </m:sSub>
        <m:r>
          <m:rPr>
            <m:sty m:val="p"/>
          </m:rPr>
          <w:rPr>
            <w:rFonts w:ascii="Cambria Math" w:hAnsi="Cambria Math"/>
          </w:rPr>
          <m:t>+2k×112 kHz</m:t>
        </m:r>
      </m:oMath>
      <w:r w:rsidRPr="008D7C4F">
        <w:t xml:space="preserve"> . There is an increase of processing complexity by doing so, but for satellite, less frequencies have to be scanned compared to terrestrial. Hence the added complexity is limited and expected to be implemented in NTN terminals.</w:t>
      </w:r>
    </w:p>
    <w:p w14:paraId="64A593D9" w14:textId="76F827E8" w:rsidR="00811666" w:rsidRPr="008D7C4F" w:rsidRDefault="0058106F" w:rsidP="00443782">
      <w:pPr>
        <w:pStyle w:val="Titre2"/>
        <w:pBdr>
          <w:top w:val="none" w:sz="0" w:space="0" w:color="auto"/>
        </w:pBdr>
        <w:overflowPunct w:val="0"/>
        <w:autoSpaceDE w:val="0"/>
        <w:autoSpaceDN w:val="0"/>
        <w:adjustRightInd w:val="0"/>
      </w:pPr>
      <w:r w:rsidRPr="008D7C4F">
        <w:rPr>
          <w:rFonts w:eastAsia="SimSun" w:cs="Times New Roman"/>
          <w:color w:val="auto"/>
          <w:szCs w:val="20"/>
          <w:lang w:eastAsia="en-US"/>
        </w:rPr>
        <w:t>3.</w:t>
      </w:r>
      <w:r w:rsidR="00636297" w:rsidRPr="008D7C4F">
        <w:rPr>
          <w:rFonts w:eastAsia="SimSun" w:cs="Times New Roman"/>
          <w:color w:val="auto"/>
          <w:szCs w:val="20"/>
          <w:lang w:eastAsia="en-US"/>
        </w:rPr>
        <w:t>4</w:t>
      </w:r>
      <w:r w:rsidR="00E56599" w:rsidRPr="008D7C4F">
        <w:rPr>
          <w:rFonts w:eastAsia="SimSun" w:cs="Times New Roman"/>
          <w:color w:val="auto"/>
          <w:szCs w:val="20"/>
          <w:lang w:eastAsia="en-US"/>
        </w:rPr>
        <w:tab/>
      </w:r>
      <w:bookmarkEnd w:id="2"/>
      <w:bookmarkEnd w:id="3"/>
      <w:bookmarkEnd w:id="4"/>
      <w:bookmarkEnd w:id="5"/>
      <w:bookmarkEnd w:id="6"/>
      <w:bookmarkEnd w:id="7"/>
      <w:bookmarkEnd w:id="8"/>
      <w:bookmarkEnd w:id="9"/>
      <w:r w:rsidR="00811666" w:rsidRPr="008D7C4F">
        <w:t xml:space="preserve">Delay tolerant </w:t>
      </w:r>
      <w:r w:rsidR="00811666" w:rsidRPr="008D7C4F">
        <w:rPr>
          <w:rFonts w:eastAsia="SimSun" w:cs="Times New Roman"/>
          <w:color w:val="auto"/>
          <w:szCs w:val="20"/>
          <w:lang w:eastAsia="en-US"/>
        </w:rPr>
        <w:t>HARQ solutions</w:t>
      </w:r>
    </w:p>
    <w:p w14:paraId="0BF9A86C" w14:textId="48BA490C" w:rsidR="00811666" w:rsidRPr="008D7C4F" w:rsidRDefault="00811666" w:rsidP="00F35860">
      <w:pPr>
        <w:jc w:val="both"/>
      </w:pPr>
      <w:r w:rsidRPr="008D7C4F">
        <w:t xml:space="preserve">The following describes some of the </w:t>
      </w:r>
      <w:r w:rsidR="00C05726" w:rsidRPr="008D7C4F">
        <w:t>identified</w:t>
      </w:r>
      <w:r w:rsidRPr="008D7C4F">
        <w:t xml:space="preserve"> </w:t>
      </w:r>
      <w:r w:rsidR="00F833CE" w:rsidRPr="008D7C4F">
        <w:t xml:space="preserve">NR </w:t>
      </w:r>
      <w:r w:rsidRPr="008D7C4F">
        <w:t xml:space="preserve">features that can be supported and extended to </w:t>
      </w:r>
      <w:r w:rsidR="00F833CE" w:rsidRPr="008D7C4F">
        <w:t xml:space="preserve">facilitate HARQ for </w:t>
      </w:r>
      <w:r w:rsidRPr="008D7C4F">
        <w:t>NTN</w:t>
      </w:r>
      <w:r w:rsidR="00F833CE" w:rsidRPr="008D7C4F">
        <w:t>.</w:t>
      </w:r>
    </w:p>
    <w:p w14:paraId="03BEEA90" w14:textId="093790E6" w:rsidR="00811666" w:rsidRPr="008D7C4F" w:rsidRDefault="00811666" w:rsidP="00AB6791">
      <w:pPr>
        <w:jc w:val="both"/>
        <w:rPr>
          <w:b/>
          <w:bCs/>
          <w:szCs w:val="24"/>
        </w:rPr>
      </w:pPr>
      <w:r w:rsidRPr="008D7C4F">
        <w:rPr>
          <w:b/>
          <w:bCs/>
          <w:szCs w:val="24"/>
        </w:rPr>
        <w:t xml:space="preserve">Further HARQ </w:t>
      </w:r>
      <w:r w:rsidR="00F833CE" w:rsidRPr="008D7C4F">
        <w:rPr>
          <w:b/>
          <w:bCs/>
          <w:szCs w:val="24"/>
        </w:rPr>
        <w:t xml:space="preserve">enhancements </w:t>
      </w:r>
      <w:r w:rsidRPr="008D7C4F">
        <w:rPr>
          <w:b/>
          <w:bCs/>
          <w:szCs w:val="24"/>
        </w:rPr>
        <w:t>supporting NTN</w:t>
      </w:r>
    </w:p>
    <w:p w14:paraId="4E395A0C" w14:textId="47369AF4" w:rsidR="00811666" w:rsidRPr="008D7C4F" w:rsidRDefault="00F833CE" w:rsidP="00F35860">
      <w:pPr>
        <w:jc w:val="both"/>
      </w:pPr>
      <w:r w:rsidRPr="008D7C4F">
        <w:t>In the following, possible further enhancements to support NTN are outlined.</w:t>
      </w:r>
    </w:p>
    <w:p w14:paraId="09405FFF" w14:textId="14E354FD" w:rsidR="00811666" w:rsidRPr="008D7C4F" w:rsidRDefault="00811666" w:rsidP="00AB6791">
      <w:pPr>
        <w:pStyle w:val="Paragraphedeliste"/>
        <w:numPr>
          <w:ilvl w:val="0"/>
          <w:numId w:val="37"/>
        </w:numPr>
        <w:jc w:val="both"/>
        <w:rPr>
          <w:b/>
          <w:bCs/>
          <w:szCs w:val="24"/>
        </w:rPr>
      </w:pPr>
      <w:r w:rsidRPr="008D7C4F">
        <w:rPr>
          <w:b/>
          <w:bCs/>
          <w:szCs w:val="24"/>
        </w:rPr>
        <w:t xml:space="preserve">Extending the minimum </w:t>
      </w:r>
      <w:r w:rsidR="00C05726" w:rsidRPr="008D7C4F">
        <w:rPr>
          <w:b/>
          <w:bCs/>
          <w:szCs w:val="24"/>
        </w:rPr>
        <w:t xml:space="preserve">number of </w:t>
      </w:r>
      <w:r w:rsidRPr="008D7C4F">
        <w:rPr>
          <w:b/>
          <w:bCs/>
          <w:szCs w:val="24"/>
        </w:rPr>
        <w:t>HARQ processes</w:t>
      </w:r>
    </w:p>
    <w:p w14:paraId="05AF60C1" w14:textId="7875C69C" w:rsidR="00811666" w:rsidRPr="008D7C4F" w:rsidRDefault="00811666" w:rsidP="00F35860">
      <w:pPr>
        <w:ind w:left="360"/>
        <w:jc w:val="both"/>
      </w:pPr>
      <w:r w:rsidRPr="008D7C4F">
        <w:t>It is agreed in NR to support</w:t>
      </w:r>
      <w:r w:rsidR="00F833CE" w:rsidRPr="008D7C4F">
        <w:t xml:space="preserve"> a</w:t>
      </w:r>
      <w:r w:rsidRPr="008D7C4F">
        <w:t xml:space="preserve"> flexible number of HARQ processes</w:t>
      </w:r>
      <w:r w:rsidR="00F833CE" w:rsidRPr="008D7C4F">
        <w:t xml:space="preserve"> </w:t>
      </w:r>
      <w:r w:rsidRPr="008D7C4F">
        <w:t xml:space="preserve">to support different use-cases with moderate RTT delays, e.g., satellites with MEO and LEO constellations as well as extreme coverage. </w:t>
      </w:r>
      <w:r w:rsidR="00F833CE" w:rsidRPr="008D7C4F">
        <w:t>Currently</w:t>
      </w:r>
      <w:r w:rsidRPr="008D7C4F">
        <w:t xml:space="preserve"> NR supports 8 and 16 HARQ processes as a baseline. However, for NTN integration the number </w:t>
      </w:r>
      <w:r w:rsidR="00F833CE" w:rsidRPr="008D7C4F">
        <w:t xml:space="preserve">of </w:t>
      </w:r>
      <w:r w:rsidRPr="008D7C4F">
        <w:t>HARQ processes need</w:t>
      </w:r>
      <w:r w:rsidR="00F833CE" w:rsidRPr="008D7C4F">
        <w:t>s</w:t>
      </w:r>
      <w:r w:rsidRPr="008D7C4F">
        <w:t xml:space="preserve"> to be </w:t>
      </w:r>
      <w:r w:rsidR="00F833CE" w:rsidRPr="008D7C4F">
        <w:t>increased</w:t>
      </w:r>
      <w:r w:rsidRPr="008D7C4F">
        <w:t xml:space="preserve">. Therefore, it is necessary to further study the optimal extension of the </w:t>
      </w:r>
      <w:r w:rsidR="00C05726" w:rsidRPr="008D7C4F">
        <w:t>minimum number of HARQ processes</w:t>
      </w:r>
      <w:r w:rsidR="00C05726" w:rsidRPr="008D7C4F">
        <w:rPr>
          <w:rFonts w:eastAsiaTheme="minorEastAsia"/>
        </w:rPr>
        <w:t>.</w:t>
      </w:r>
    </w:p>
    <w:p w14:paraId="341F788C" w14:textId="59514B5A" w:rsidR="00811666" w:rsidRPr="008D7C4F" w:rsidRDefault="00811666" w:rsidP="00AB6791">
      <w:pPr>
        <w:pStyle w:val="Paragraphedeliste"/>
        <w:numPr>
          <w:ilvl w:val="0"/>
          <w:numId w:val="37"/>
        </w:numPr>
        <w:jc w:val="both"/>
        <w:rPr>
          <w:b/>
          <w:bCs/>
          <w:szCs w:val="24"/>
        </w:rPr>
      </w:pPr>
      <w:r w:rsidRPr="008D7C4F">
        <w:rPr>
          <w:b/>
          <w:bCs/>
          <w:szCs w:val="24"/>
        </w:rPr>
        <w:lastRenderedPageBreak/>
        <w:t>Flexible HARQ timing</w:t>
      </w:r>
    </w:p>
    <w:p w14:paraId="366061AF" w14:textId="529B6ECD" w:rsidR="00811666" w:rsidRPr="008D7C4F" w:rsidRDefault="00811666" w:rsidP="00F35860">
      <w:pPr>
        <w:ind w:left="360"/>
        <w:jc w:val="both"/>
      </w:pPr>
      <w:r w:rsidRPr="008D7C4F">
        <w:t>The HARQ processing tim</w:t>
      </w:r>
      <w:r w:rsidR="00C05726" w:rsidRPr="008D7C4F">
        <w:t>e</w:t>
      </w:r>
      <w:r w:rsidRPr="008D7C4F">
        <w:t xml:space="preserve"> in the DCI includes </w:t>
      </w:r>
      <w:r w:rsidR="00C05726" w:rsidRPr="008D7C4F">
        <w:t xml:space="preserve">at least the time </w:t>
      </w:r>
      <w:r w:rsidRPr="008D7C4F">
        <w:t xml:space="preserve">between DL data reception </w:t>
      </w:r>
      <w:r w:rsidR="00C05726" w:rsidRPr="008D7C4F">
        <w:t>and</w:t>
      </w:r>
      <w:r w:rsidRPr="008D7C4F">
        <w:t xml:space="preserve"> the corresponding HARQ-ACK transmission in UL. It </w:t>
      </w:r>
      <w:r w:rsidR="00C64F80" w:rsidRPr="008D7C4F">
        <w:t xml:space="preserve">also </w:t>
      </w:r>
      <w:r w:rsidRPr="008D7C4F">
        <w:t xml:space="preserve">includes the </w:t>
      </w:r>
      <w:r w:rsidR="00C64F80" w:rsidRPr="008D7C4F">
        <w:t xml:space="preserve">time </w:t>
      </w:r>
      <w:r w:rsidRPr="008D7C4F">
        <w:t xml:space="preserve">between UL grant reception </w:t>
      </w:r>
      <w:r w:rsidR="00C64F80" w:rsidRPr="008D7C4F">
        <w:t>and</w:t>
      </w:r>
      <w:r w:rsidR="00DE0556" w:rsidRPr="008D7C4F">
        <w:t xml:space="preserve"> </w:t>
      </w:r>
      <w:r w:rsidRPr="008D7C4F">
        <w:t xml:space="preserve">the corresponding UL data transmission </w:t>
      </w:r>
      <w:r w:rsidR="0033779B" w:rsidRPr="00016502">
        <w:rPr>
          <w:u w:color="FFFF00"/>
        </w:rPr>
        <w:t>[</w:t>
      </w:r>
      <w:r w:rsidR="0010483F" w:rsidRPr="00016502">
        <w:rPr>
          <w:u w:color="FFFF00"/>
        </w:rPr>
        <w:t>34</w:t>
      </w:r>
      <w:r w:rsidR="00CB1ED2" w:rsidRPr="00016502">
        <w:rPr>
          <w:u w:color="FFFF00"/>
        </w:rPr>
        <w:t>-</w:t>
      </w:r>
      <w:r w:rsidR="0033779B" w:rsidRPr="00016502">
        <w:rPr>
          <w:u w:color="FFFF00"/>
        </w:rPr>
        <w:t>1]</w:t>
      </w:r>
      <w:r w:rsidRPr="008D7C4F">
        <w:t xml:space="preserve">. This should be </w:t>
      </w:r>
      <w:r w:rsidR="00C64F80" w:rsidRPr="008D7C4F">
        <w:t xml:space="preserve">also affected </w:t>
      </w:r>
      <w:r w:rsidRPr="008D7C4F">
        <w:t xml:space="preserve">by the satellite delays, </w:t>
      </w:r>
      <w:r w:rsidR="00C64F80" w:rsidRPr="008D7C4F">
        <w:t>and thus</w:t>
      </w:r>
      <w:r w:rsidRPr="008D7C4F">
        <w:t xml:space="preserve"> needs to be studied</w:t>
      </w:r>
      <w:r w:rsidR="00C64F80" w:rsidRPr="008D7C4F">
        <w:t xml:space="preserve"> further. A modification of</w:t>
      </w:r>
      <w:r w:rsidRPr="008D7C4F">
        <w:t xml:space="preserve"> the corresponding DCI control field/format</w:t>
      </w:r>
      <w:r w:rsidR="00C64F80" w:rsidRPr="008D7C4F">
        <w:t xml:space="preserve"> should be further investigated</w:t>
      </w:r>
      <w:r w:rsidRPr="008D7C4F">
        <w:t>.</w:t>
      </w:r>
    </w:p>
    <w:p w14:paraId="2A9053B6" w14:textId="2DDB5389" w:rsidR="00811666" w:rsidRPr="008D7C4F" w:rsidRDefault="00811666" w:rsidP="00AB6791">
      <w:pPr>
        <w:pStyle w:val="Paragraphedeliste"/>
        <w:numPr>
          <w:ilvl w:val="0"/>
          <w:numId w:val="37"/>
        </w:numPr>
        <w:jc w:val="both"/>
        <w:rPr>
          <w:b/>
          <w:bCs/>
          <w:szCs w:val="24"/>
        </w:rPr>
      </w:pPr>
      <w:r w:rsidRPr="008D7C4F">
        <w:rPr>
          <w:b/>
          <w:bCs/>
          <w:szCs w:val="24"/>
        </w:rPr>
        <w:t>Adaptive HARQ-process ID</w:t>
      </w:r>
    </w:p>
    <w:p w14:paraId="7DE83E7C" w14:textId="1D947A2B" w:rsidR="00811666" w:rsidRPr="008D7C4F" w:rsidRDefault="003B2926" w:rsidP="00F35860">
      <w:pPr>
        <w:ind w:left="360"/>
        <w:jc w:val="both"/>
      </w:pPr>
      <w:hyperlink r:id="rId14" w:tgtFrame="_blank" w:history="1">
        <w:r w:rsidR="00C64F80" w:rsidRPr="008D7C4F">
          <w:t>Asynchronous</w:t>
        </w:r>
      </w:hyperlink>
      <w:r w:rsidR="00C64F80" w:rsidRPr="008D7C4F">
        <w:t xml:space="preserve"> </w:t>
      </w:r>
      <w:r w:rsidR="00811666" w:rsidRPr="008D7C4F">
        <w:t xml:space="preserve">HARQ can be scheduled at any time slot after N subframes, </w:t>
      </w:r>
      <w:r w:rsidR="00C64F80" w:rsidRPr="008D7C4F">
        <w:t xml:space="preserve">with </w:t>
      </w:r>
      <w:r w:rsidR="00811666" w:rsidRPr="008D7C4F">
        <w:t xml:space="preserve">N </w:t>
      </w:r>
      <w:r w:rsidR="00C64F80" w:rsidRPr="008D7C4F">
        <w:t xml:space="preserve">being </w:t>
      </w:r>
      <w:r w:rsidR="00811666" w:rsidRPr="008D7C4F">
        <w:t xml:space="preserve">the configured number of HARQ processes. Therefore, </w:t>
      </w:r>
      <w:r w:rsidR="00C64F80" w:rsidRPr="008D7C4F">
        <w:t xml:space="preserve">a </w:t>
      </w:r>
      <w:r w:rsidR="00811666" w:rsidRPr="008D7C4F">
        <w:t xml:space="preserve">HARQ-process ID is used to indicate which HARQ process refers to an existing transmission </w:t>
      </w:r>
      <w:r w:rsidR="0033779B" w:rsidRPr="00016502">
        <w:rPr>
          <w:u w:color="FFFF00"/>
        </w:rPr>
        <w:t>[</w:t>
      </w:r>
      <w:r w:rsidR="0010483F" w:rsidRPr="00016502">
        <w:rPr>
          <w:u w:color="FFFF00"/>
        </w:rPr>
        <w:t>34</w:t>
      </w:r>
      <w:r w:rsidR="00CB1ED2" w:rsidRPr="00016502">
        <w:rPr>
          <w:u w:color="FFFF00"/>
        </w:rPr>
        <w:t>-</w:t>
      </w:r>
      <w:r w:rsidR="0010483F" w:rsidRPr="00016502">
        <w:rPr>
          <w:u w:color="FFFF00"/>
        </w:rPr>
        <w:t>2</w:t>
      </w:r>
      <w:r w:rsidR="0033779B" w:rsidRPr="00016502">
        <w:rPr>
          <w:u w:color="FFFF00"/>
        </w:rPr>
        <w:t>,</w:t>
      </w:r>
      <w:r w:rsidR="0010483F" w:rsidRPr="00016502">
        <w:rPr>
          <w:u w:color="FFFF00"/>
        </w:rPr>
        <w:t>34-3</w:t>
      </w:r>
      <w:r w:rsidR="0033779B" w:rsidRPr="00016502">
        <w:rPr>
          <w:u w:color="FFFF00"/>
        </w:rPr>
        <w:t>]</w:t>
      </w:r>
      <w:r w:rsidR="00811666" w:rsidRPr="008D7C4F">
        <w:t xml:space="preserve">. Hence, it is important to study how to efficiently introduce more HARQ processes with less impact on the number of HARQ process IDs. </w:t>
      </w:r>
    </w:p>
    <w:p w14:paraId="51B2254A" w14:textId="4B8EECCD" w:rsidR="00811666" w:rsidRPr="008D7C4F" w:rsidRDefault="00C05726" w:rsidP="00AB6791">
      <w:pPr>
        <w:pStyle w:val="Paragraphedeliste"/>
        <w:numPr>
          <w:ilvl w:val="0"/>
          <w:numId w:val="37"/>
        </w:numPr>
        <w:jc w:val="both"/>
        <w:rPr>
          <w:b/>
          <w:bCs/>
          <w:szCs w:val="24"/>
        </w:rPr>
      </w:pPr>
      <w:r w:rsidRPr="008D7C4F">
        <w:rPr>
          <w:b/>
          <w:bCs/>
          <w:szCs w:val="24"/>
        </w:rPr>
        <w:t>C</w:t>
      </w:r>
      <w:r w:rsidR="00811666" w:rsidRPr="008D7C4F">
        <w:rPr>
          <w:b/>
          <w:bCs/>
          <w:szCs w:val="24"/>
        </w:rPr>
        <w:t xml:space="preserve">ode block group (CBG) aggregation for reduced HARQ acknowledgements </w:t>
      </w:r>
    </w:p>
    <w:p w14:paraId="3A4D66AB" w14:textId="00AC13D9" w:rsidR="00811666" w:rsidRPr="008D7C4F" w:rsidRDefault="00811666" w:rsidP="00F35860">
      <w:pPr>
        <w:ind w:left="360"/>
        <w:jc w:val="both"/>
        <w:rPr>
          <w:b/>
          <w:bCs/>
          <w:sz w:val="24"/>
          <w:szCs w:val="24"/>
        </w:rPr>
      </w:pPr>
      <w:r w:rsidRPr="008D7C4F">
        <w:t xml:space="preserve">In NR, code-block group (CBG) aggregation is supported, where data transmission can be scheduled to span one or multiple code-blocks (CB). For each </w:t>
      </w:r>
      <w:r w:rsidR="00C64F80" w:rsidRPr="008D7C4F">
        <w:t>CBG</w:t>
      </w:r>
      <w:r w:rsidRPr="008D7C4F">
        <w:t xml:space="preserve">, one HARQ feedback is sufficient to be transmitted for all aggregated code-blocks </w:t>
      </w:r>
      <w:r w:rsidR="0033779B" w:rsidRPr="00016502">
        <w:rPr>
          <w:u w:color="FFFF00"/>
        </w:rPr>
        <w:t>[</w:t>
      </w:r>
      <w:r w:rsidR="0010483F" w:rsidRPr="00016502">
        <w:rPr>
          <w:u w:color="FFFF00"/>
        </w:rPr>
        <w:t>34-2</w:t>
      </w:r>
      <w:r w:rsidR="0033779B" w:rsidRPr="00016502">
        <w:rPr>
          <w:u w:color="FFFF00"/>
        </w:rPr>
        <w:t xml:space="preserve">, </w:t>
      </w:r>
      <w:r w:rsidR="0010483F" w:rsidRPr="00016502">
        <w:rPr>
          <w:u w:color="FFFF00"/>
        </w:rPr>
        <w:t>34-3</w:t>
      </w:r>
      <w:r w:rsidR="0033779B" w:rsidRPr="00016502">
        <w:rPr>
          <w:u w:color="FFFF00"/>
        </w:rPr>
        <w:t>]</w:t>
      </w:r>
      <w:r w:rsidRPr="008D7C4F">
        <w:t xml:space="preserve">. </w:t>
      </w:r>
      <w:r w:rsidR="00C64F80" w:rsidRPr="008D7C4F">
        <w:t>T</w:t>
      </w:r>
      <w:r w:rsidRPr="008D7C4F">
        <w:t xml:space="preserve">he number of </w:t>
      </w:r>
      <w:r w:rsidR="00C64F80" w:rsidRPr="008D7C4F">
        <w:t xml:space="preserve">required </w:t>
      </w:r>
      <w:r w:rsidRPr="008D7C4F">
        <w:t>HARQ processes and HARQ feedbacks</w:t>
      </w:r>
      <w:r w:rsidR="00C64F80" w:rsidRPr="008D7C4F">
        <w:t xml:space="preserve"> can thus be significantly reduced</w:t>
      </w:r>
      <w:r w:rsidRPr="008D7C4F">
        <w:t xml:space="preserve">. Therefore, </w:t>
      </w:r>
      <w:r w:rsidR="00C64F80" w:rsidRPr="008D7C4F">
        <w:t xml:space="preserve">the </w:t>
      </w:r>
      <w:r w:rsidRPr="008D7C4F">
        <w:t>impact of longer delays</w:t>
      </w:r>
      <w:r w:rsidR="00C64F80" w:rsidRPr="008D7C4F">
        <w:t xml:space="preserve"> in</w:t>
      </w:r>
      <w:r w:rsidRPr="008D7C4F">
        <w:t xml:space="preserve"> </w:t>
      </w:r>
      <w:r w:rsidR="00C64F80" w:rsidRPr="008D7C4F">
        <w:t xml:space="preserve">NTN </w:t>
      </w:r>
      <w:r w:rsidRPr="008D7C4F">
        <w:t xml:space="preserve">needs to be considered for CBG, and whether </w:t>
      </w:r>
      <w:r w:rsidR="00C64F80" w:rsidRPr="008D7C4F">
        <w:t xml:space="preserve">or not the </w:t>
      </w:r>
      <w:r w:rsidRPr="008D7C4F">
        <w:t>aggregation among TBs (rather than CB) can enhance the HARQ.</w:t>
      </w:r>
    </w:p>
    <w:p w14:paraId="46687F58" w14:textId="00D8783F" w:rsidR="00811666" w:rsidRPr="008D7C4F" w:rsidRDefault="00811666" w:rsidP="00AB6791">
      <w:pPr>
        <w:jc w:val="both"/>
        <w:rPr>
          <w:b/>
          <w:bCs/>
          <w:szCs w:val="24"/>
        </w:rPr>
      </w:pPr>
      <w:r w:rsidRPr="008D7C4F">
        <w:rPr>
          <w:b/>
          <w:bCs/>
          <w:szCs w:val="24"/>
        </w:rPr>
        <w:t xml:space="preserve">Limiting the number </w:t>
      </w:r>
      <w:r w:rsidR="00C05726" w:rsidRPr="008D7C4F">
        <w:rPr>
          <w:b/>
          <w:bCs/>
          <w:szCs w:val="24"/>
        </w:rPr>
        <w:t xml:space="preserve">of </w:t>
      </w:r>
      <w:r w:rsidRPr="008D7C4F">
        <w:rPr>
          <w:b/>
          <w:bCs/>
          <w:szCs w:val="24"/>
        </w:rPr>
        <w:t>HARQ processes or disabling HARQ</w:t>
      </w:r>
    </w:p>
    <w:p w14:paraId="31EA28EA" w14:textId="2E0D6388" w:rsidR="00811666" w:rsidRPr="008D7C4F" w:rsidRDefault="00C64F80" w:rsidP="00F35860">
      <w:pPr>
        <w:jc w:val="both"/>
      </w:pPr>
      <w:r w:rsidRPr="008D7C4F">
        <w:t>F</w:t>
      </w:r>
      <w:r w:rsidR="00811666" w:rsidRPr="008D7C4F">
        <w:t xml:space="preserve">or some satellite constellations, the number of HARQ processes is too high, e.g., GEO can reach 500 HARQ processes for a 1ms subframe length. In this case, mechanisms should be studied to </w:t>
      </w:r>
      <w:r w:rsidRPr="008D7C4F">
        <w:t xml:space="preserve">significantly </w:t>
      </w:r>
      <w:r w:rsidR="00811666" w:rsidRPr="008D7C4F">
        <w:t xml:space="preserve">reduce the number of HARQ processes. In some cases, we might need to disable HARQ completely and allow only the initial transmission, RV0. </w:t>
      </w:r>
    </w:p>
    <w:p w14:paraId="7F305998" w14:textId="2482A70D" w:rsidR="00811666" w:rsidRPr="008D7C4F" w:rsidRDefault="00811666" w:rsidP="00F35860">
      <w:pPr>
        <w:jc w:val="both"/>
      </w:pPr>
      <w:r w:rsidRPr="008D7C4F">
        <w:t>The HARQ deactivation/(re)-activat</w:t>
      </w:r>
      <w:r w:rsidR="00D409D7" w:rsidRPr="008D7C4F">
        <w:t>ion</w:t>
      </w:r>
      <w:r w:rsidRPr="008D7C4F">
        <w:t xml:space="preserve"> (and/or switching to ARQ) can be initiated either by the gNB or by the UE </w:t>
      </w:r>
      <w:r w:rsidR="0033779B" w:rsidRPr="00016502">
        <w:rPr>
          <w:u w:color="FFFF00"/>
        </w:rPr>
        <w:t>[</w:t>
      </w:r>
      <w:r w:rsidR="0010483F" w:rsidRPr="00016502">
        <w:rPr>
          <w:u w:color="FFFF00"/>
        </w:rPr>
        <w:t>34-</w:t>
      </w:r>
      <w:r w:rsidR="0010483F" w:rsidRPr="00016502">
        <w:rPr>
          <w:u w:color="FFFF00"/>
          <w:lang w:val="en-GB"/>
        </w:rPr>
        <w:t>4</w:t>
      </w:r>
      <w:r w:rsidR="0033779B" w:rsidRPr="00016502">
        <w:rPr>
          <w:u w:color="FFFF00"/>
        </w:rPr>
        <w:t xml:space="preserve">, </w:t>
      </w:r>
      <w:r w:rsidR="0010483F" w:rsidRPr="00016502">
        <w:rPr>
          <w:u w:color="FFFF00"/>
        </w:rPr>
        <w:t>34-</w:t>
      </w:r>
      <w:r w:rsidR="0010483F" w:rsidRPr="00016502">
        <w:rPr>
          <w:u w:color="FFFF00"/>
          <w:lang w:val="en-GB"/>
        </w:rPr>
        <w:t>5</w:t>
      </w:r>
      <w:r w:rsidR="0010483F" w:rsidRPr="00016502">
        <w:rPr>
          <w:u w:color="FFFF00"/>
        </w:rPr>
        <w:t>, 34-</w:t>
      </w:r>
      <w:r w:rsidR="0010483F" w:rsidRPr="00016502">
        <w:rPr>
          <w:u w:color="FFFF00"/>
          <w:lang w:val="en-GB"/>
        </w:rPr>
        <w:t>7</w:t>
      </w:r>
      <w:r w:rsidR="0033779B" w:rsidRPr="00016502">
        <w:rPr>
          <w:u w:color="FFFF00"/>
        </w:rPr>
        <w:t>]</w:t>
      </w:r>
      <w:r w:rsidRPr="008D7C4F">
        <w:t xml:space="preserve">. This can be done dynamically (e.g., per transmission of one or more transport block(s)) or semi-statically (e.g., </w:t>
      </w:r>
      <w:r w:rsidR="00D409D7" w:rsidRPr="008D7C4F">
        <w:t xml:space="preserve">by a </w:t>
      </w:r>
      <w:r w:rsidRPr="008D7C4F">
        <w:t xml:space="preserve">deactivation for a period of time or over a region). </w:t>
      </w:r>
      <w:r w:rsidR="00D409D7" w:rsidRPr="008D7C4F">
        <w:t>D</w:t>
      </w:r>
      <w:r w:rsidRPr="008D7C4F">
        <w:t xml:space="preserve">ifferent mechanisms and metrics are needed to </w:t>
      </w:r>
      <w:r w:rsidR="00D409D7" w:rsidRPr="008D7C4F">
        <w:t xml:space="preserve">decide whether to </w:t>
      </w:r>
      <w:r w:rsidRPr="008D7C4F">
        <w:t>enab</w:t>
      </w:r>
      <w:r w:rsidR="00D409D7" w:rsidRPr="008D7C4F">
        <w:t>le</w:t>
      </w:r>
      <w:r w:rsidRPr="008D7C4F">
        <w:t xml:space="preserve"> or disabl</w:t>
      </w:r>
      <w:r w:rsidR="00D409D7" w:rsidRPr="008D7C4F">
        <w:t>e</w:t>
      </w:r>
      <w:r w:rsidR="00DE0556" w:rsidRPr="008D7C4F">
        <w:t xml:space="preserve"> </w:t>
      </w:r>
      <w:r w:rsidRPr="008D7C4F">
        <w:t xml:space="preserve">HARQ, e.g., the UE QoS, memory size, round trip time, network type, or transport block size, etc. Hence, it is important to study the impact </w:t>
      </w:r>
      <w:r w:rsidR="00D409D7" w:rsidRPr="008D7C4F">
        <w:t xml:space="preserve">of disabling HARQ </w:t>
      </w:r>
      <w:r w:rsidRPr="008D7C4F">
        <w:t>on NR</w:t>
      </w:r>
      <w:r w:rsidR="00DE0556" w:rsidRPr="008D7C4F">
        <w:t xml:space="preserve"> </w:t>
      </w:r>
      <w:r w:rsidRPr="008D7C4F">
        <w:t>(e.g., impact on the TBS, MCS, etc.). It is also important to consider the following HARQ reliability mechanisms to support disabling HARQ:</w:t>
      </w:r>
    </w:p>
    <w:p w14:paraId="7CEA0C15" w14:textId="77777777" w:rsidR="00811666" w:rsidRPr="008D7C4F" w:rsidRDefault="00811666" w:rsidP="00AB6791">
      <w:pPr>
        <w:pStyle w:val="Paragraphedeliste"/>
        <w:numPr>
          <w:ilvl w:val="0"/>
          <w:numId w:val="37"/>
        </w:numPr>
        <w:jc w:val="both"/>
        <w:rPr>
          <w:b/>
          <w:sz w:val="24"/>
          <w:szCs w:val="20"/>
        </w:rPr>
      </w:pPr>
      <w:r w:rsidRPr="008D7C4F">
        <w:rPr>
          <w:b/>
          <w:bCs/>
          <w:szCs w:val="24"/>
        </w:rPr>
        <w:t>HARQ-less operation and redundancy transmission</w:t>
      </w:r>
    </w:p>
    <w:p w14:paraId="39DE892D" w14:textId="4AFFDB8B" w:rsidR="00811666" w:rsidRPr="008D7C4F" w:rsidRDefault="00811666" w:rsidP="00F35860">
      <w:pPr>
        <w:ind w:left="360"/>
        <w:jc w:val="both"/>
      </w:pPr>
      <w:r w:rsidRPr="008D7C4F">
        <w:t>TTI bundling and HARQ-less repetition (LTE Rel 15), can be used to</w:t>
      </w:r>
      <w:r w:rsidR="00D409D7" w:rsidRPr="008D7C4F">
        <w:t xml:space="preserve"> completely</w:t>
      </w:r>
      <w:r w:rsidRPr="008D7C4F">
        <w:t xml:space="preserve"> avoid retransmission</w:t>
      </w:r>
      <w:r w:rsidR="00D409D7" w:rsidRPr="008D7C4F">
        <w:t>s</w:t>
      </w:r>
      <w:r w:rsidRPr="008D7C4F">
        <w:t xml:space="preserve">; </w:t>
      </w:r>
      <w:r w:rsidR="00D409D7" w:rsidRPr="008D7C4F">
        <w:t>thus avoiding</w:t>
      </w:r>
      <w:r w:rsidRPr="008D7C4F">
        <w:t xml:space="preserve"> the large number of required HARQ processes </w:t>
      </w:r>
      <w:r w:rsidR="00D409D7" w:rsidRPr="008D7C4F">
        <w:t xml:space="preserve">and the </w:t>
      </w:r>
      <w:r w:rsidRPr="008D7C4F">
        <w:t xml:space="preserve">excessive HARQ feedback. In NR release 15 –December freeze – it was also agreed upon a similar mechanism for UL, the k-repetition </w:t>
      </w:r>
      <w:r w:rsidR="0033779B" w:rsidRPr="00016502">
        <w:rPr>
          <w:u w:color="FFFF00"/>
        </w:rPr>
        <w:t>[</w:t>
      </w:r>
      <w:r w:rsidR="0010483F" w:rsidRPr="00016502">
        <w:rPr>
          <w:u w:color="FFFF00"/>
        </w:rPr>
        <w:t>34-2</w:t>
      </w:r>
      <w:r w:rsidR="0033779B" w:rsidRPr="00016502">
        <w:rPr>
          <w:u w:color="FFFF00"/>
        </w:rPr>
        <w:t xml:space="preserve">, </w:t>
      </w:r>
      <w:r w:rsidR="0010483F" w:rsidRPr="00016502">
        <w:rPr>
          <w:u w:color="FFFF00"/>
        </w:rPr>
        <w:t>34-</w:t>
      </w:r>
      <w:r w:rsidR="0010483F" w:rsidRPr="00016502">
        <w:rPr>
          <w:u w:color="FFFF00"/>
          <w:lang w:val="en-GB"/>
        </w:rPr>
        <w:t>5</w:t>
      </w:r>
      <w:r w:rsidR="0033779B" w:rsidRPr="00016502">
        <w:rPr>
          <w:u w:color="FFFF00"/>
        </w:rPr>
        <w:t xml:space="preserve">, </w:t>
      </w:r>
      <w:r w:rsidR="0010483F" w:rsidRPr="00016502">
        <w:rPr>
          <w:u w:color="FFFF00"/>
        </w:rPr>
        <w:t>34-3, 34-</w:t>
      </w:r>
      <w:r w:rsidR="0010483F" w:rsidRPr="00016502">
        <w:rPr>
          <w:u w:color="FFFF00"/>
          <w:lang w:val="en-GB"/>
        </w:rPr>
        <w:t>7</w:t>
      </w:r>
      <w:r w:rsidR="0033779B" w:rsidRPr="00016502">
        <w:rPr>
          <w:u w:color="FFFF00"/>
        </w:rPr>
        <w:t>]</w:t>
      </w:r>
      <w:r w:rsidRPr="008D7C4F">
        <w:t xml:space="preserve">. Those k repetitions can be similar to the initial transmission or following </w:t>
      </w:r>
      <w:r w:rsidR="00DE0556" w:rsidRPr="008D7C4F">
        <w:t xml:space="preserve">a </w:t>
      </w:r>
      <w:r w:rsidRPr="008D7C4F">
        <w:t xml:space="preserve">certain RV sequence </w:t>
      </w:r>
      <w:r w:rsidR="0033779B" w:rsidRPr="00016502">
        <w:rPr>
          <w:u w:color="FFFF00"/>
        </w:rPr>
        <w:t>[</w:t>
      </w:r>
      <w:r w:rsidR="0010483F" w:rsidRPr="00016502">
        <w:rPr>
          <w:u w:color="FFFF00"/>
        </w:rPr>
        <w:t>34-</w:t>
      </w:r>
      <w:r w:rsidR="0010483F" w:rsidRPr="00016502">
        <w:rPr>
          <w:u w:color="FFFF00"/>
          <w:lang w:val="en-GB"/>
        </w:rPr>
        <w:t>6</w:t>
      </w:r>
      <w:r w:rsidR="0033779B" w:rsidRPr="00016502">
        <w:rPr>
          <w:u w:color="FFFF00"/>
        </w:rPr>
        <w:t>]</w:t>
      </w:r>
      <w:r w:rsidRPr="008D7C4F">
        <w:t>. For current NR, bundling and repetition are</w:t>
      </w:r>
      <w:r w:rsidR="00DE0556" w:rsidRPr="008D7C4F">
        <w:t xml:space="preserve"> only</w:t>
      </w:r>
      <w:r w:rsidRPr="008D7C4F">
        <w:t xml:space="preserve"> supported in </w:t>
      </w:r>
      <w:r w:rsidR="00DE0556" w:rsidRPr="008D7C4F">
        <w:t xml:space="preserve">the </w:t>
      </w:r>
      <w:r w:rsidRPr="008D7C4F">
        <w:t>time domain. Therefore, the impact on repetition value k, rate reduction (i.e., 1/k), and the TBS/MCS tables need to be studied.</w:t>
      </w:r>
    </w:p>
    <w:p w14:paraId="29414D74" w14:textId="77777777" w:rsidR="00811666" w:rsidRPr="008D7C4F" w:rsidRDefault="00811666" w:rsidP="00AB6791">
      <w:pPr>
        <w:pStyle w:val="Paragraphedeliste"/>
        <w:numPr>
          <w:ilvl w:val="0"/>
          <w:numId w:val="37"/>
        </w:numPr>
        <w:jc w:val="both"/>
        <w:rPr>
          <w:b/>
          <w:bCs/>
          <w:sz w:val="24"/>
          <w:szCs w:val="24"/>
        </w:rPr>
      </w:pPr>
      <w:r w:rsidRPr="008D7C4F">
        <w:rPr>
          <w:b/>
          <w:bCs/>
          <w:szCs w:val="24"/>
        </w:rPr>
        <w:lastRenderedPageBreak/>
        <w:t>Utilizing terrestrial dual-connectivity</w:t>
      </w:r>
    </w:p>
    <w:p w14:paraId="49452744" w14:textId="679038AE" w:rsidR="00811666" w:rsidRPr="008D7C4F" w:rsidRDefault="00811666" w:rsidP="00F35860">
      <w:pPr>
        <w:ind w:left="360"/>
        <w:jc w:val="both"/>
        <w:rPr>
          <w:color w:val="FF0000"/>
        </w:rPr>
      </w:pPr>
      <w:r w:rsidRPr="008D7C4F">
        <w:t xml:space="preserve">In case of deactivated HARQ, when it is required to guarantee a certain QoS, the HARQ operation can still be resumed (with a reduced latency) utilizing a dual-connectivity (DC) with a ground station (gNB) in a terrestrial network offloading scenario. The ground gNB might be backhauled using a satellite reliable link or lose-less connection to the network. Once the UE is in the coverage of </w:t>
      </w:r>
      <w:r w:rsidR="00DE0556" w:rsidRPr="008D7C4F">
        <w:t>both,</w:t>
      </w:r>
      <w:r w:rsidRPr="008D7C4F">
        <w:t xml:space="preserve"> terrestrial </w:t>
      </w:r>
      <w:r w:rsidR="00DE0556" w:rsidRPr="008D7C4F">
        <w:t>and non-terrestrial</w:t>
      </w:r>
      <w:r w:rsidRPr="008D7C4F">
        <w:t xml:space="preserve"> node, the initial transmission can be sent over the NTN link, while HARQ retransmissions (other RVs) and HARQ ACK/NACK feedbacks can simply flow over the terrestrial links (i.e., rather than the longer delay NTN links)</w:t>
      </w:r>
      <w:r w:rsidR="00DE0556" w:rsidRPr="008D7C4F">
        <w:t xml:space="preserve"> as illustrated in Figure 7.3.3.1-3</w:t>
      </w:r>
      <w:r w:rsidRPr="008D7C4F">
        <w:t xml:space="preserve">. In other scenarios, rather than a network offloading scenario, dual connectivity can gain performance utilizing L2 aggregations, e.g., PDCP aggregation. Hence, it is important to further study the impact on NR HARQ operation in case of DC with an existing terrestrial gNB to include HARQ redundancy decoding at physical layer and/or L2 aggregation if possible. The impact on HARQ timing, </w:t>
      </w:r>
      <w:r w:rsidR="00DE0556" w:rsidRPr="008D7C4F">
        <w:t xml:space="preserve">the </w:t>
      </w:r>
      <w:r w:rsidRPr="008D7C4F">
        <w:t>number of HARQ processes, and the HARQ process ID/synchronization need to be identified in this case.</w:t>
      </w:r>
    </w:p>
    <w:p w14:paraId="7D004A85" w14:textId="77777777" w:rsidR="00811666" w:rsidRPr="008D7C4F" w:rsidRDefault="00811666" w:rsidP="00811666">
      <w:pPr>
        <w:jc w:val="center"/>
      </w:pPr>
      <w:r w:rsidRPr="00CB77CC">
        <w:rPr>
          <w:noProof/>
          <w:lang w:val="en-GB" w:eastAsia="en-GB"/>
        </w:rPr>
        <w:drawing>
          <wp:inline distT="0" distB="0" distL="0" distR="0" wp14:anchorId="320B9817" wp14:editId="01D68180">
            <wp:extent cx="3467100" cy="1962872"/>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t_HARQ_figures3.png"/>
                    <pic:cNvPicPr/>
                  </pic:nvPicPr>
                  <pic:blipFill>
                    <a:blip r:embed="rId15">
                      <a:extLst>
                        <a:ext uri="{28A0092B-C50C-407E-A947-70E740481C1C}">
                          <a14:useLocalDpi xmlns:a14="http://schemas.microsoft.com/office/drawing/2010/main" val="0"/>
                        </a:ext>
                      </a:extLst>
                    </a:blip>
                    <a:stretch>
                      <a:fillRect/>
                    </a:stretch>
                  </pic:blipFill>
                  <pic:spPr>
                    <a:xfrm>
                      <a:off x="0" y="0"/>
                      <a:ext cx="3549177" cy="2009339"/>
                    </a:xfrm>
                    <a:prstGeom prst="rect">
                      <a:avLst/>
                    </a:prstGeom>
                  </pic:spPr>
                </pic:pic>
              </a:graphicData>
            </a:graphic>
          </wp:inline>
        </w:drawing>
      </w:r>
    </w:p>
    <w:p w14:paraId="0F37C2F6" w14:textId="77777777" w:rsidR="00811666" w:rsidRPr="008D7C4F" w:rsidRDefault="00811666" w:rsidP="00811666">
      <w:pPr>
        <w:pStyle w:val="Lgende"/>
        <w:rPr>
          <w:lang w:eastAsia="de-DE"/>
        </w:rPr>
      </w:pPr>
      <w:r w:rsidRPr="008D7C4F">
        <w:rPr>
          <w:lang w:eastAsia="de-DE"/>
        </w:rPr>
        <w:t>Figure 7.3.3.1-3: The HARQ RVs are transmitted to the gNB via a satellite (or non-satellite) backhauling network. The gNB transmits the RVs to the UE upon HARQ negative acknowledgement NACK</w:t>
      </w:r>
    </w:p>
    <w:p w14:paraId="3F932B87" w14:textId="693F0765" w:rsidR="00811666" w:rsidRPr="008D7C4F" w:rsidRDefault="00811666" w:rsidP="00F35860">
      <w:pPr>
        <w:jc w:val="both"/>
      </w:pPr>
      <w:r w:rsidRPr="008D7C4F">
        <w:t>Any of the previous NR mechanisms, e.g., HARQ-less repetitions, dual-connectivity, can be studied with HARQ being disabled or enabled.</w:t>
      </w:r>
    </w:p>
    <w:p w14:paraId="375E5BAB" w14:textId="77777777" w:rsidR="00FF214D" w:rsidRPr="008D7C4F" w:rsidRDefault="00FF214D" w:rsidP="00F35860">
      <w:pPr>
        <w:jc w:val="both"/>
      </w:pPr>
    </w:p>
    <w:p w14:paraId="7352B595" w14:textId="47954C6B" w:rsidR="009D59EB" w:rsidRPr="008D7C4F" w:rsidRDefault="0058106F" w:rsidP="009D59EB">
      <w:pPr>
        <w:pStyle w:val="Titre2"/>
        <w:pBdr>
          <w:top w:val="none" w:sz="0" w:space="0" w:color="auto"/>
        </w:pBdr>
        <w:overflowPunct w:val="0"/>
        <w:autoSpaceDE w:val="0"/>
        <w:autoSpaceDN w:val="0"/>
        <w:adjustRightInd w:val="0"/>
        <w:rPr>
          <w:rFonts w:eastAsia="SimSun" w:cs="Times New Roman"/>
          <w:color w:val="auto"/>
          <w:szCs w:val="20"/>
          <w:lang w:eastAsia="en-US"/>
        </w:rPr>
      </w:pPr>
      <w:r w:rsidRPr="008D7C4F">
        <w:rPr>
          <w:rFonts w:eastAsia="SimSun" w:cs="Times New Roman"/>
          <w:color w:val="auto"/>
          <w:szCs w:val="20"/>
          <w:lang w:eastAsia="en-US"/>
        </w:rPr>
        <w:t>3.</w:t>
      </w:r>
      <w:r w:rsidR="00636297" w:rsidRPr="008D7C4F">
        <w:rPr>
          <w:rFonts w:eastAsia="SimSun" w:cs="Times New Roman"/>
          <w:color w:val="auto"/>
          <w:szCs w:val="20"/>
          <w:lang w:eastAsia="en-US"/>
        </w:rPr>
        <w:t>5</w:t>
      </w:r>
      <w:r w:rsidR="009D59EB" w:rsidRPr="008D7C4F">
        <w:rPr>
          <w:rFonts w:eastAsia="SimSun" w:cs="Times New Roman"/>
          <w:color w:val="auto"/>
          <w:szCs w:val="20"/>
          <w:lang w:eastAsia="en-US"/>
        </w:rPr>
        <w:tab/>
      </w:r>
      <w:r w:rsidR="009D59EB" w:rsidRPr="008D7C4F">
        <w:t>Timing advance adjustment</w:t>
      </w:r>
    </w:p>
    <w:p w14:paraId="17848705" w14:textId="77777777" w:rsidR="00C20AC5" w:rsidRPr="008D7C4F" w:rsidRDefault="00C20AC5" w:rsidP="00016502">
      <w:pPr>
        <w:jc w:val="both"/>
        <w:rPr>
          <w:lang w:val="en-GB"/>
        </w:rPr>
      </w:pPr>
      <w:r w:rsidRPr="008D7C4F">
        <w:rPr>
          <w:lang w:val="en-GB"/>
        </w:rPr>
        <w:t>MEO, LEO and HAPS systems feature a strong varying delay because satellite/HAPS and UE are fast-moving and are not relatively static. In this case, some problems arise, the individual timing advances of the UEs have to be fast dynamically updated and appropriate TA index values are needed to solve the long strong delay in the overall distance of the propagation on NTN link.</w:t>
      </w:r>
    </w:p>
    <w:p w14:paraId="523C7B38" w14:textId="77777777" w:rsidR="00C20AC5" w:rsidRPr="008D7C4F" w:rsidRDefault="00C20AC5" w:rsidP="00016502">
      <w:pPr>
        <w:jc w:val="both"/>
      </w:pPr>
      <w:r w:rsidRPr="008D7C4F">
        <w:t xml:space="preserve">This chapter highlights the fact that there is a strong requirement for fast TA adjustment in case of satellite links compared to terrestrial communication, as the distance of the mobile terminal to the base station is only varying slowly (compared to the speed of a spacecraft) due to terminal mobility in </w:t>
      </w:r>
      <w:r w:rsidRPr="008D7C4F">
        <w:lastRenderedPageBreak/>
        <w:t>terrestrial case. The issues or technical problems to solve, related to TA alignment in Satellite communications, are as follows:</w:t>
      </w:r>
    </w:p>
    <w:p w14:paraId="754FFA38" w14:textId="77777777" w:rsidR="00C20AC5" w:rsidRPr="008D7C4F" w:rsidRDefault="00C20AC5" w:rsidP="00016502">
      <w:pPr>
        <w:pStyle w:val="Paragraphedeliste"/>
        <w:numPr>
          <w:ilvl w:val="0"/>
          <w:numId w:val="5"/>
        </w:numPr>
        <w:jc w:val="both"/>
      </w:pPr>
      <w:r w:rsidRPr="008D7C4F">
        <w:t>A strong delay variation is caused by moving satellites (e.g. in LEO and MEO orbits) generating a fast change in the overall distance of the propagation from UE over Satellite to BS.</w:t>
      </w:r>
    </w:p>
    <w:p w14:paraId="183F1F3F" w14:textId="77777777" w:rsidR="00C20AC5" w:rsidRPr="008D7C4F" w:rsidRDefault="00C20AC5" w:rsidP="00016502">
      <w:pPr>
        <w:pStyle w:val="Paragraphedeliste"/>
        <w:numPr>
          <w:ilvl w:val="0"/>
          <w:numId w:val="5"/>
        </w:numPr>
        <w:jc w:val="both"/>
        <w:rPr>
          <w:rFonts w:eastAsia="SimSun"/>
        </w:rPr>
      </w:pPr>
      <w:r w:rsidRPr="008D7C4F">
        <w:t>The delay is much longer over a satellite link than one TTI (in LTE 1 ms)</w:t>
      </w:r>
    </w:p>
    <w:p w14:paraId="489E72C0" w14:textId="77777777" w:rsidR="00C20AC5" w:rsidRPr="008D7C4F" w:rsidRDefault="00C20AC5" w:rsidP="00016502">
      <w:pPr>
        <w:jc w:val="both"/>
      </w:pPr>
      <w:r w:rsidRPr="008D7C4F">
        <w:t xml:space="preserve">The delay over satellite links (earth hub station containing a BS </w:t>
      </w:r>
      <w:r w:rsidRPr="008D7C4F">
        <w:sym w:font="Wingdings" w:char="F0E0"/>
      </w:r>
      <w:r w:rsidRPr="008D7C4F">
        <w:t xml:space="preserve"> satellite </w:t>
      </w:r>
      <w:r w:rsidRPr="008D7C4F">
        <w:sym w:font="Wingdings" w:char="F0E0"/>
      </w:r>
      <w:r w:rsidRPr="008D7C4F">
        <w:t xml:space="preserve"> mobile terminal) has a strongly variable delay in case of non-geostationary satellites. LTE and NR require that all mobile terminals have to transmit on the return link such that all signals arrive synchronously at the earth hub station / BS within the cyclic prefix (CP) (in LTE and NR with 15 kHz SCS: 4.7 μs). So, the individual TA’s of the mobile terminals have to be adjusted dynamically over time, according to variable distance between BS and UE, e.g. due to movement by cars, planes, by pedestrians etc. In case of terrestrial communication, the distance (and thus the delay over the transmission link) is determined only by the rather low mobility of the UE (compared to satellite speeds), since all BS are normally static. </w:t>
      </w:r>
    </w:p>
    <w:p w14:paraId="35B53D46" w14:textId="1E7C6663" w:rsidR="00C20AC5" w:rsidRPr="008D7C4F" w:rsidRDefault="00C20AC5" w:rsidP="00016502">
      <w:pPr>
        <w:jc w:val="both"/>
        <w:rPr>
          <w:lang w:val="en-GB"/>
        </w:rPr>
      </w:pPr>
      <w:r w:rsidRPr="008D7C4F">
        <w:rPr>
          <w:lang w:val="en-GB"/>
        </w:rPr>
        <w:t xml:space="preserve">DL/UL transmissions are organized into frames with 10ms duration, where one frame consists of 10 </w:t>
      </w:r>
      <w:proofErr w:type="spellStart"/>
      <w:r w:rsidRPr="008D7C4F">
        <w:rPr>
          <w:lang w:val="en-GB"/>
        </w:rPr>
        <w:t>subframes</w:t>
      </w:r>
      <w:proofErr w:type="spellEnd"/>
      <w:r w:rsidRPr="008D7C4F">
        <w:rPr>
          <w:lang w:val="en-GB"/>
        </w:rPr>
        <w:t xml:space="preserve"> of 1ms duration each, and is divided into two equally-sized of 5 sub</w:t>
      </w:r>
      <w:r w:rsidR="00814836" w:rsidRPr="008D7C4F">
        <w:rPr>
          <w:lang w:val="en-GB"/>
        </w:rPr>
        <w:t>-</w:t>
      </w:r>
      <w:r w:rsidRPr="008D7C4F">
        <w:rPr>
          <w:lang w:val="en-GB"/>
        </w:rPr>
        <w:t xml:space="preserve">frames each </w:t>
      </w:r>
      <w:r w:rsidR="0033779B" w:rsidRPr="00016502">
        <w:rPr>
          <w:u w:color="FFFF00"/>
          <w:lang w:val="en-GB"/>
        </w:rPr>
        <w:t>[</w:t>
      </w:r>
      <w:r w:rsidR="00663F90" w:rsidRPr="00016502">
        <w:rPr>
          <w:u w:color="FFFF00"/>
          <w:lang w:val="en-GB"/>
        </w:rPr>
        <w:t>35</w:t>
      </w:r>
      <w:r w:rsidR="00CB1ED2" w:rsidRPr="00016502">
        <w:rPr>
          <w:u w:color="FFFF00"/>
          <w:lang w:val="en-GB"/>
        </w:rPr>
        <w:t>-</w:t>
      </w:r>
      <w:r w:rsidR="00663F90" w:rsidRPr="00016502">
        <w:rPr>
          <w:u w:color="FFFF00"/>
          <w:lang w:val="en-GB"/>
        </w:rPr>
        <w:t>1</w:t>
      </w:r>
      <w:r w:rsidR="0033779B" w:rsidRPr="00016502">
        <w:rPr>
          <w:u w:color="FFFF00"/>
          <w:lang w:val="en-GB"/>
        </w:rPr>
        <w:t>]</w:t>
      </w:r>
      <w:r w:rsidRPr="008D7C4F">
        <w:rPr>
          <w:lang w:val="en-GB"/>
        </w:rPr>
        <w:t>. Timing advance (TA) is necessary to ensure that the downlink and uplink sub</w:t>
      </w:r>
      <w:r w:rsidR="00814836" w:rsidRPr="008D7C4F">
        <w:rPr>
          <w:lang w:val="en-GB"/>
        </w:rPr>
        <w:t>-</w:t>
      </w:r>
      <w:r w:rsidRPr="008D7C4F">
        <w:rPr>
          <w:lang w:val="en-GB"/>
        </w:rPr>
        <w:t xml:space="preserve">frames are synchronized at the </w:t>
      </w:r>
      <w:proofErr w:type="spellStart"/>
      <w:r w:rsidRPr="008D7C4F">
        <w:rPr>
          <w:lang w:val="en-GB"/>
        </w:rPr>
        <w:t>gNB</w:t>
      </w:r>
      <w:proofErr w:type="spellEnd"/>
      <w:r w:rsidRPr="008D7C4F">
        <w:rPr>
          <w:lang w:val="en-GB"/>
        </w:rPr>
        <w:t xml:space="preserve">. </w:t>
      </w:r>
    </w:p>
    <w:p w14:paraId="66DD082C" w14:textId="7C3C6CF3" w:rsidR="00C20AC5" w:rsidRPr="008D7C4F" w:rsidRDefault="00C20AC5" w:rsidP="00016502">
      <w:pPr>
        <w:jc w:val="both"/>
        <w:rPr>
          <w:lang w:val="en-GB"/>
        </w:rPr>
      </w:pPr>
      <w:r w:rsidRPr="008D7C4F">
        <w:t xml:space="preserve">In other cases, a timing advance command </w:t>
      </w:r>
      <w:r w:rsidR="0033779B" w:rsidRPr="00016502">
        <w:rPr>
          <w:u w:color="FFFF00"/>
        </w:rPr>
        <w:t>[</w:t>
      </w:r>
      <w:r w:rsidR="00663F90" w:rsidRPr="00016502">
        <w:rPr>
          <w:u w:color="FFFF00"/>
        </w:rPr>
        <w:t>35-2</w:t>
      </w:r>
      <w:r w:rsidR="0033779B" w:rsidRPr="00016502">
        <w:rPr>
          <w:u w:color="FFFF00"/>
        </w:rPr>
        <w:t>]</w:t>
      </w:r>
      <w:r w:rsidRPr="008D7C4F">
        <w:t xml:space="preserve">, </w:t>
      </w:r>
      <w:r w:rsidRPr="00016502">
        <w:rPr>
          <w:position w:val="-10"/>
        </w:rPr>
        <w:object w:dxaOrig="260" w:dyaOrig="300" w14:anchorId="4DFFA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pt" o:ole="">
            <v:imagedata r:id="rId16" o:title=""/>
          </v:shape>
          <o:OLEObject Type="Embed" ProgID="Equation.3" ShapeID="_x0000_i1025" DrawAspect="Content" ObjectID="_1589606610" r:id="rId17"/>
        </w:object>
      </w:r>
      <w:r w:rsidRPr="008D7C4F">
        <w:t xml:space="preserve">, for a TAG indicates </w:t>
      </w:r>
      <w:r w:rsidRPr="008D7C4F">
        <w:rPr>
          <w:rFonts w:eastAsia="MS Mincho"/>
        </w:rPr>
        <w:t>adjustment of</w:t>
      </w:r>
      <w:r w:rsidRPr="008D7C4F">
        <w:t xml:space="preserve"> the current</w:t>
      </w:r>
      <w:r w:rsidRPr="008D7C4F">
        <w:rPr>
          <w:rFonts w:eastAsia="MS Mincho"/>
        </w:rPr>
        <w:t xml:space="preserve"> </w:t>
      </w:r>
      <w:r w:rsidRPr="00016502">
        <w:rPr>
          <w:position w:val="-10"/>
        </w:rPr>
        <w:object w:dxaOrig="400" w:dyaOrig="300" w14:anchorId="644B4FAE">
          <v:shape id="_x0000_i1026" type="#_x0000_t75" style="width:20.25pt;height:15pt" o:ole="">
            <v:imagedata r:id="rId18" o:title=""/>
          </v:shape>
          <o:OLEObject Type="Embed" ProgID="Equation.3" ShapeID="_x0000_i1026" DrawAspect="Content" ObjectID="_1589606611" r:id="rId19"/>
        </w:object>
      </w:r>
      <w:r w:rsidRPr="008D7C4F">
        <w:rPr>
          <w:i/>
        </w:rPr>
        <w:t xml:space="preserve"> </w:t>
      </w:r>
      <w:r w:rsidRPr="008D7C4F">
        <w:t xml:space="preserve">value, </w:t>
      </w:r>
      <w:r w:rsidRPr="00016502">
        <w:rPr>
          <w:position w:val="-12"/>
        </w:rPr>
        <w:object w:dxaOrig="620" w:dyaOrig="320" w14:anchorId="383CAD2A">
          <v:shape id="_x0000_i1027" type="#_x0000_t75" style="width:30pt;height:15.75pt" o:ole="">
            <v:imagedata r:id="rId20" o:title=""/>
          </v:shape>
          <o:OLEObject Type="Embed" ProgID="Equation.3" ShapeID="_x0000_i1027" DrawAspect="Content" ObjectID="_1589606612" r:id="rId21"/>
        </w:object>
      </w:r>
      <w:r w:rsidRPr="008D7C4F">
        <w:t xml:space="preserve">, to the new </w:t>
      </w:r>
      <w:r w:rsidRPr="00016502">
        <w:rPr>
          <w:position w:val="-10"/>
        </w:rPr>
        <w:object w:dxaOrig="400" w:dyaOrig="300" w14:anchorId="0ACBEDC4">
          <v:shape id="_x0000_i1028" type="#_x0000_t75" style="width:20.25pt;height:15pt" o:ole="">
            <v:imagedata r:id="rId18" o:title=""/>
          </v:shape>
          <o:OLEObject Type="Embed" ProgID="Equation.3" ShapeID="_x0000_i1028" DrawAspect="Content" ObjectID="_1589606613" r:id="rId22"/>
        </w:object>
      </w:r>
      <w:r w:rsidRPr="008D7C4F">
        <w:rPr>
          <w:i/>
        </w:rPr>
        <w:t xml:space="preserve"> </w:t>
      </w:r>
      <w:r w:rsidRPr="008D7C4F">
        <w:t xml:space="preserve">value, </w:t>
      </w:r>
      <w:r w:rsidRPr="00016502">
        <w:rPr>
          <w:position w:val="-12"/>
        </w:rPr>
        <w:object w:dxaOrig="660" w:dyaOrig="320" w14:anchorId="4C6D32F2">
          <v:shape id="_x0000_i1029" type="#_x0000_t75" style="width:32.25pt;height:15.75pt" o:ole="">
            <v:imagedata r:id="rId23" o:title=""/>
          </v:shape>
          <o:OLEObject Type="Embed" ProgID="Equation.3" ShapeID="_x0000_i1029" DrawAspect="Content" ObjectID="_1589606614" r:id="rId24"/>
        </w:object>
      </w:r>
      <w:r w:rsidRPr="008D7C4F">
        <w:t>,</w:t>
      </w:r>
      <w:r w:rsidRPr="008D7C4F">
        <w:rPr>
          <w:rFonts w:eastAsia="MS Mincho"/>
        </w:rPr>
        <w:t xml:space="preserve"> by</w:t>
      </w:r>
      <w:r w:rsidRPr="008D7C4F">
        <w:t xml:space="preserve"> index values of </w:t>
      </w:r>
      <w:r w:rsidRPr="00016502">
        <w:rPr>
          <w:position w:val="-10"/>
        </w:rPr>
        <w:object w:dxaOrig="260" w:dyaOrig="300" w14:anchorId="14485757">
          <v:shape id="_x0000_i1030" type="#_x0000_t75" style="width:12.75pt;height:15pt" o:ole="">
            <v:imagedata r:id="rId16" o:title=""/>
          </v:shape>
          <o:OLEObject Type="Embed" ProgID="Equation.3" ShapeID="_x0000_i1030" DrawAspect="Content" ObjectID="_1589606615" r:id="rId25"/>
        </w:object>
      </w:r>
      <w:r w:rsidRPr="008D7C4F">
        <w:t xml:space="preserve"> = 0, 1, 2,..., 63, where for a </w:t>
      </w:r>
      <w:r w:rsidRPr="008D7C4F">
        <w:rPr>
          <w:rFonts w:eastAsia="MS Mincho"/>
        </w:rPr>
        <w:t xml:space="preserve">subcarrier spacing of </w:t>
      </w:r>
      <w:r w:rsidRPr="00016502">
        <w:rPr>
          <w:position w:val="-6"/>
        </w:rPr>
        <w:object w:dxaOrig="560" w:dyaOrig="300" w14:anchorId="364B6DE3">
          <v:shape id="_x0000_i1031" type="#_x0000_t75" style="width:27.75pt;height:15pt" o:ole="">
            <v:imagedata r:id="rId26" o:title=""/>
          </v:shape>
          <o:OLEObject Type="Embed" ProgID="Equation.3" ShapeID="_x0000_i1031" DrawAspect="Content" ObjectID="_1589606616" r:id="rId27"/>
        </w:object>
      </w:r>
      <w:r w:rsidRPr="008D7C4F">
        <w:t xml:space="preserve"> kHz, </w:t>
      </w:r>
      <w:r w:rsidRPr="00016502">
        <w:rPr>
          <w:position w:val="-12"/>
        </w:rPr>
        <w:object w:dxaOrig="3200" w:dyaOrig="360" w14:anchorId="06C369AC">
          <v:shape id="_x0000_i1032" type="#_x0000_t75" style="width:156pt;height:18pt" o:ole="">
            <v:imagedata r:id="rId28" o:title=""/>
          </v:shape>
          <o:OLEObject Type="Embed" ProgID="Equation.3" ShapeID="_x0000_i1032" DrawAspect="Content" ObjectID="_1589606617" r:id="rId29"/>
        </w:object>
      </w:r>
      <w:r w:rsidRPr="008D7C4F">
        <w:t xml:space="preserve">. </w:t>
      </w:r>
      <w:r w:rsidRPr="008D7C4F">
        <w:rPr>
          <w:lang w:val="en-GB"/>
        </w:rPr>
        <w:t xml:space="preserve">As shown in Figure 1, transmission of uplink frame number </w:t>
      </w:r>
      <m:oMath>
        <m:r>
          <w:rPr>
            <w:rFonts w:ascii="Cambria Math" w:hAnsi="Cambria Math"/>
            <w:lang w:val="en-GB"/>
          </w:rPr>
          <m:t>i</m:t>
        </m:r>
      </m:oMath>
      <w:r w:rsidRPr="008D7C4F">
        <w:rPr>
          <w:lang w:val="en-GB"/>
        </w:rPr>
        <w:t xml:space="preserve"> from the UE shall start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TA</m:t>
            </m:r>
          </m:sub>
        </m:sSub>
        <m:r>
          <w:rPr>
            <w:rFonts w:ascii="Cambria Math" w:hAnsi="Cambria Math"/>
            <w:lang w:val="en-GB"/>
          </w:rPr>
          <m:t>=</m:t>
        </m:r>
        <m:d>
          <m:dPr>
            <m:ctrlPr>
              <w:rPr>
                <w:rFonts w:ascii="Cambria Math" w:hAnsi="Cambria Math"/>
                <w:i/>
              </w:rPr>
            </m:ctrlPr>
          </m:dPr>
          <m:e>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r>
              <w:rPr>
                <w:rFonts w:ascii="Cambria Math" w:hAnsi="Cambria Math"/>
                <w:lang w:val="en-GB"/>
              </w:rPr>
              <m:t>+</m:t>
            </m:r>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e>
        </m:d>
        <m:r>
          <w:rPr>
            <w:rFonts w:ascii="Cambria Math" w:hAnsi="Cambria Math"/>
            <w:lang w:val="en-GB"/>
          </w:rPr>
          <m:t>×</m:t>
        </m:r>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sidRPr="008D7C4F">
        <w:rPr>
          <w:lang w:val="en-GB"/>
        </w:rPr>
        <w:t xml:space="preserve"> before the start of the corresponding downlink frame </w:t>
      </w:r>
      <m:oMath>
        <m:r>
          <w:rPr>
            <w:rFonts w:ascii="Cambria Math" w:hAnsi="Cambria Math"/>
            <w:lang w:val="en-GB"/>
          </w:rPr>
          <m:t>i</m:t>
        </m:r>
      </m:oMath>
      <w:r w:rsidRPr="008D7C4F">
        <w:rPr>
          <w:lang w:val="en-GB"/>
        </w:rPr>
        <w:t xml:space="preserve"> at the UE, where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oMath>
      <w:r w:rsidRPr="008D7C4F">
        <w:t xml:space="preserve"> can be derived by the UE based on the </w:t>
      </w:r>
      <w:r w:rsidRPr="008D7C4F">
        <w:rPr>
          <w:lang w:val="en-GB"/>
        </w:rPr>
        <w:t>index value</w:t>
      </w:r>
      <w:r w:rsidRPr="008D7C4F">
        <w:t xml:space="preserve">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A</m:t>
            </m:r>
          </m:sub>
        </m:sSub>
      </m:oMath>
      <w:r w:rsidRPr="008D7C4F">
        <w:rPr>
          <w:lang w:val="en-GB"/>
        </w:rPr>
        <w:t xml:space="preserve"> from gNB</w:t>
      </w:r>
      <w:r w:rsidRPr="008D7C4F">
        <w:t xml:space="preserv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oMath>
      <w:r w:rsidRPr="008D7C4F">
        <w:t xml:space="preserve"> </w:t>
      </w:r>
      <w:r w:rsidRPr="008D7C4F">
        <w:rPr>
          <w:lang w:val="en-GB"/>
        </w:rPr>
        <w:t xml:space="preserve">depends on the duplex mode and frequency range in uplink transmission, and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sidRPr="008D7C4F">
        <w:rPr>
          <w:lang w:val="en-GB"/>
        </w:rPr>
        <w:t xml:space="preserve"> </w:t>
      </w:r>
      <w:r w:rsidRPr="008D7C4F">
        <w:t xml:space="preserve">is the basic timing unit </w:t>
      </w:r>
      <w:r w:rsidR="0033779B" w:rsidRPr="00016502">
        <w:rPr>
          <w:u w:color="FFFF00"/>
        </w:rPr>
        <w:t>[</w:t>
      </w:r>
      <w:r w:rsidR="00663F90" w:rsidRPr="00016502">
        <w:rPr>
          <w:u w:color="FFFF00"/>
          <w:lang w:val="en-GB"/>
        </w:rPr>
        <w:t>35</w:t>
      </w:r>
      <w:r w:rsidR="00CB1ED2" w:rsidRPr="00016502">
        <w:rPr>
          <w:u w:color="FFFF00"/>
          <w:lang w:val="en-GB"/>
        </w:rPr>
        <w:t>-</w:t>
      </w:r>
      <w:r w:rsidR="00663F90" w:rsidRPr="00016502">
        <w:rPr>
          <w:u w:color="FFFF00"/>
        </w:rPr>
        <w:t>1</w:t>
      </w:r>
      <w:r w:rsidR="0033779B" w:rsidRPr="00016502">
        <w:rPr>
          <w:u w:color="FFFF00"/>
        </w:rPr>
        <w:t>]</w:t>
      </w:r>
      <w:r w:rsidR="0033779B" w:rsidRPr="00016502">
        <w:rPr>
          <w:u w:color="FFFF00"/>
          <w:lang w:val="en-GB"/>
        </w:rPr>
        <w:t>[</w:t>
      </w:r>
      <w:r w:rsidR="00663F90" w:rsidRPr="00016502">
        <w:rPr>
          <w:u w:color="FFFF00"/>
          <w:lang w:val="en-GB"/>
        </w:rPr>
        <w:t>35</w:t>
      </w:r>
      <w:r w:rsidR="00CB1ED2" w:rsidRPr="00016502">
        <w:rPr>
          <w:u w:color="FFFF00"/>
          <w:lang w:val="en-GB"/>
        </w:rPr>
        <w:t>-</w:t>
      </w:r>
      <w:r w:rsidR="0033779B" w:rsidRPr="00016502">
        <w:rPr>
          <w:u w:color="FFFF00"/>
          <w:lang w:val="en-GB"/>
        </w:rPr>
        <w:t>3][</w:t>
      </w:r>
      <w:r w:rsidR="00663F90" w:rsidRPr="00016502">
        <w:rPr>
          <w:u w:color="FFFF00"/>
          <w:lang w:val="en-GB"/>
        </w:rPr>
        <w:t>35</w:t>
      </w:r>
      <w:r w:rsidR="00CB1ED2" w:rsidRPr="00016502">
        <w:rPr>
          <w:u w:color="FFFF00"/>
          <w:lang w:val="en-GB"/>
        </w:rPr>
        <w:t>-</w:t>
      </w:r>
      <w:r w:rsidR="0033779B" w:rsidRPr="00016502">
        <w:rPr>
          <w:u w:color="FFFF00"/>
          <w:lang w:val="en-GB"/>
        </w:rPr>
        <w:t>4]</w:t>
      </w:r>
      <w:r w:rsidRPr="008D7C4F">
        <w:rPr>
          <w:lang w:val="en-GB"/>
        </w:rPr>
        <w:t xml:space="preserve">. </w:t>
      </w:r>
      <w:r w:rsidRPr="008D7C4F">
        <w:rPr>
          <w:lang w:val="en-GB"/>
        </w:rPr>
        <w:tab/>
      </w:r>
    </w:p>
    <w:p w14:paraId="488F7818" w14:textId="77777777" w:rsidR="00C20AC5" w:rsidRPr="008D7C4F" w:rsidRDefault="00C20AC5" w:rsidP="00C20AC5">
      <w:pPr>
        <w:jc w:val="center"/>
        <w:rPr>
          <w:rFonts w:ascii="Times New Roman" w:hAnsi="Times New Roman" w:cs="Times New Roman"/>
          <w:lang w:val="en-GB"/>
        </w:rPr>
      </w:pPr>
      <w:r w:rsidRPr="00CB77CC">
        <w:rPr>
          <w:rFonts w:ascii="Times New Roman" w:hAnsi="Times New Roman" w:cs="Times New Roman"/>
          <w:noProof/>
          <w:lang w:val="en-GB" w:eastAsia="en-GB"/>
        </w:rPr>
        <w:drawing>
          <wp:inline distT="0" distB="0" distL="0" distR="0" wp14:anchorId="79BFDDF9" wp14:editId="50B3820E">
            <wp:extent cx="4984108" cy="2804160"/>
            <wp:effectExtent l="0" t="0" r="7620" b="0"/>
            <wp:docPr id="1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05520" cy="2816207"/>
                    </a:xfrm>
                    <a:prstGeom prst="rect">
                      <a:avLst/>
                    </a:prstGeom>
                    <a:noFill/>
                    <a:ln>
                      <a:noFill/>
                    </a:ln>
                  </pic:spPr>
                </pic:pic>
              </a:graphicData>
            </a:graphic>
          </wp:inline>
        </w:drawing>
      </w:r>
    </w:p>
    <w:p w14:paraId="42FF1114" w14:textId="77777777" w:rsidR="00C20AC5" w:rsidRPr="008D7C4F" w:rsidRDefault="00C20AC5" w:rsidP="00C20AC5">
      <w:pPr>
        <w:pStyle w:val="TH"/>
      </w:pPr>
      <w:r w:rsidRPr="008D7C4F">
        <w:lastRenderedPageBreak/>
        <w:t xml:space="preserve">Figure 1: Time alignment at </w:t>
      </w:r>
      <w:proofErr w:type="spellStart"/>
      <w:r w:rsidRPr="008D7C4F">
        <w:t>gNB</w:t>
      </w:r>
      <w:proofErr w:type="spellEnd"/>
      <w:r w:rsidRPr="008D7C4F">
        <w:t xml:space="preserve"> with TA</w:t>
      </w:r>
    </w:p>
    <w:p w14:paraId="3775FA20" w14:textId="334FF6D5" w:rsidR="003D5557" w:rsidRPr="008D7C4F" w:rsidRDefault="00C20AC5" w:rsidP="00C20AC5">
      <w:r w:rsidRPr="008D7C4F">
        <w:t xml:space="preserve">A technical issue arises, when satellite links are included in the transmission chain. In this case, the strong delay variation caused by the moving satellite (e.g. in LEO, MEO orbits) is generating a fast change in the overall distance of the propagation from UE over sat to BS. Figure 3 shows exemplarily the variable one way delay over the link from hub station / BS over LEO satellite at an orbit speed of ~7500 m/s to mobile terminal with either pure UE functionality or Relay-to-Network type of UE. A high differential delay variation of up to 35 µs/s is experienced in this scenario, requiring a very fast update of the TA adjustment in the mobile terminal. </w:t>
      </w:r>
    </w:p>
    <w:p w14:paraId="36B80A41" w14:textId="77777777" w:rsidR="003D5557" w:rsidRPr="008D7C4F" w:rsidRDefault="003D5557" w:rsidP="003D5557">
      <w:pPr>
        <w:keepNext/>
        <w:jc w:val="center"/>
        <w:rPr>
          <w:rFonts w:ascii="Times New Roman" w:hAnsi="Times New Roman" w:cs="Times New Roman"/>
        </w:rPr>
      </w:pPr>
      <w:r w:rsidRPr="00CB77CC">
        <w:rPr>
          <w:rFonts w:ascii="Times New Roman" w:hAnsi="Times New Roman" w:cs="Times New Roman"/>
          <w:noProof/>
          <w:lang w:val="en-GB" w:eastAsia="en-GB"/>
        </w:rPr>
        <w:drawing>
          <wp:inline distT="0" distB="0" distL="0" distR="0" wp14:anchorId="15C4C9AA" wp14:editId="39793CB9">
            <wp:extent cx="4272032" cy="4457700"/>
            <wp:effectExtent l="0" t="0" r="0" b="0"/>
            <wp:docPr id="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80108" cy="4466127"/>
                    </a:xfrm>
                    <a:prstGeom prst="rect">
                      <a:avLst/>
                    </a:prstGeom>
                    <a:noFill/>
                    <a:ln>
                      <a:noFill/>
                    </a:ln>
                  </pic:spPr>
                </pic:pic>
              </a:graphicData>
            </a:graphic>
          </wp:inline>
        </w:drawing>
      </w:r>
    </w:p>
    <w:p w14:paraId="4E3EF65F" w14:textId="6DE14D14" w:rsidR="00C20AC5" w:rsidRPr="008D7C4F" w:rsidRDefault="003D5557" w:rsidP="009A4A68">
      <w:pPr>
        <w:pStyle w:val="TH"/>
      </w:pPr>
      <w:r w:rsidRPr="008D7C4F">
        <w:t>Figure 3: Exemplary delay variation over satellite Link in LEO constellation</w:t>
      </w:r>
    </w:p>
    <w:p w14:paraId="462C7C67" w14:textId="10832611" w:rsidR="00C20AC5" w:rsidRPr="008D7C4F" w:rsidRDefault="00C20AC5" w:rsidP="00C20AC5">
      <w:r w:rsidRPr="008D7C4F">
        <w:t xml:space="preserve">In case of satellite, the high delay drift of individual non-GEO satellites is quite predictable because the motion of the satellites follow known paths. The very fast update of the TA neither required in terrestrial links, nor GEO satellite links. In both scenarios, the terminal mobility is dominating the TA requirements. </w:t>
      </w:r>
    </w:p>
    <w:p w14:paraId="27FF13A0" w14:textId="77777777" w:rsidR="002D5EE2" w:rsidRPr="008D7C4F" w:rsidRDefault="002D5EE2" w:rsidP="002D5EE2">
      <w:pPr>
        <w:pStyle w:val="TH"/>
      </w:pPr>
      <w:r w:rsidRPr="008D7C4F">
        <w:t>Table 7.3.2.2-1: TA granularity, and step size with SCS.</w:t>
      </w:r>
    </w:p>
    <w:tbl>
      <w:tblPr>
        <w:tblStyle w:val="Grilledutableau"/>
        <w:tblW w:w="9236" w:type="dxa"/>
        <w:jc w:val="center"/>
        <w:tblLook w:val="04A0" w:firstRow="1" w:lastRow="0" w:firstColumn="1" w:lastColumn="0" w:noHBand="0" w:noVBand="1"/>
      </w:tblPr>
      <w:tblGrid>
        <w:gridCol w:w="3223"/>
        <w:gridCol w:w="882"/>
        <w:gridCol w:w="1438"/>
        <w:gridCol w:w="1402"/>
        <w:gridCol w:w="904"/>
        <w:gridCol w:w="1387"/>
      </w:tblGrid>
      <w:tr w:rsidR="002D5EE2" w:rsidRPr="008D7C4F" w14:paraId="3A94D154" w14:textId="77777777" w:rsidTr="0040781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A09BB7" w14:textId="77777777" w:rsidR="002D5EE2" w:rsidRPr="008D7C4F" w:rsidRDefault="002D5EE2" w:rsidP="00407817">
            <w:pPr>
              <w:spacing w:after="0" w:line="240" w:lineRule="auto"/>
              <w:rPr>
                <w:b/>
              </w:rPr>
            </w:pPr>
            <w:r w:rsidRPr="008D7C4F">
              <w:rPr>
                <w:b/>
                <w:lang w:eastAsia="de-DE"/>
              </w:rPr>
              <w:t xml:space="preserve">Subcarrier spacing (SCS) configuration parameter, µ  </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2BD55" w14:textId="77777777" w:rsidR="002D5EE2" w:rsidRPr="008D7C4F" w:rsidRDefault="002D5EE2" w:rsidP="00407817">
            <w:pPr>
              <w:spacing w:after="0" w:line="240" w:lineRule="auto"/>
              <w:rPr>
                <w:b/>
              </w:rPr>
            </w:pPr>
            <w:r w:rsidRPr="008D7C4F">
              <w:rPr>
                <w:b/>
                <w:lang w:val="de-DE" w:eastAsia="de-DE"/>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63779" w14:textId="77777777" w:rsidR="002D5EE2" w:rsidRPr="008D7C4F" w:rsidRDefault="002D5EE2" w:rsidP="00407817">
            <w:pPr>
              <w:spacing w:after="0" w:line="240" w:lineRule="auto"/>
              <w:rPr>
                <w:b/>
              </w:rPr>
            </w:pPr>
            <w:r w:rsidRPr="008D7C4F">
              <w:rPr>
                <w:b/>
                <w:lang w:val="de-DE" w:eastAsia="de-DE"/>
              </w:rPr>
              <w:t>RB band-</w:t>
            </w:r>
            <w:proofErr w:type="spellStart"/>
            <w:r w:rsidRPr="008D7C4F">
              <w:rPr>
                <w:b/>
                <w:lang w:val="de-DE" w:eastAsia="de-DE"/>
              </w:rPr>
              <w:t>width</w:t>
            </w:r>
            <w:proofErr w:type="spellEnd"/>
            <w:r w:rsidRPr="008D7C4F">
              <w:rPr>
                <w:b/>
                <w:lang w:val="de-DE" w:eastAsia="de-DE"/>
              </w:rPr>
              <w:t xml:space="preserve">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B15BE" w14:textId="77777777" w:rsidR="002D5EE2" w:rsidRPr="008D7C4F" w:rsidRDefault="002D5EE2" w:rsidP="00407817">
            <w:pPr>
              <w:spacing w:after="0" w:line="240" w:lineRule="auto"/>
              <w:rPr>
                <w:b/>
              </w:rPr>
            </w:pPr>
            <w:r w:rsidRPr="008D7C4F">
              <w:rPr>
                <w:b/>
                <w:lang w:val="de-DE" w:eastAsia="de-DE"/>
              </w:rPr>
              <w:t xml:space="preserve">TA </w:t>
            </w:r>
            <w:proofErr w:type="spellStart"/>
            <w:r w:rsidRPr="008D7C4F">
              <w:rPr>
                <w:b/>
                <w:lang w:val="de-DE" w:eastAsia="de-DE"/>
              </w:rPr>
              <w:t>gran-ularity</w:t>
            </w:r>
            <w:proofErr w:type="spellEnd"/>
            <w:r w:rsidRPr="008D7C4F">
              <w:rPr>
                <w:b/>
                <w:lang w:val="de-DE" w:eastAsia="de-DE"/>
              </w:rPr>
              <w:t xml:space="preserve"> [</w:t>
            </w:r>
            <w:proofErr w:type="spellStart"/>
            <w:r w:rsidRPr="008D7C4F">
              <w:rPr>
                <w:b/>
                <w:lang w:val="de-DE" w:eastAsia="de-DE"/>
              </w:rPr>
              <w:t>Ts</w:t>
            </w:r>
            <w:proofErr w:type="spellEnd"/>
            <w:r w:rsidRPr="008D7C4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DEC5F" w14:textId="77777777" w:rsidR="002D5EE2" w:rsidRPr="008D7C4F" w:rsidRDefault="002D5EE2" w:rsidP="00407817">
            <w:pPr>
              <w:spacing w:after="0" w:line="240" w:lineRule="auto"/>
              <w:rPr>
                <w:b/>
              </w:rPr>
            </w:pPr>
            <w:proofErr w:type="spellStart"/>
            <w:r w:rsidRPr="008D7C4F">
              <w:rPr>
                <w:b/>
                <w:lang w:val="de-DE" w:eastAsia="de-DE"/>
              </w:rPr>
              <w:t>T</w:t>
            </w:r>
            <w:r w:rsidRPr="008D7C4F">
              <w:rPr>
                <w:b/>
                <w:vertAlign w:val="subscript"/>
                <w:lang w:val="de-DE" w:eastAsia="de-DE"/>
              </w:rPr>
              <w:t>step</w:t>
            </w:r>
            <w:proofErr w:type="spellEnd"/>
            <w:r w:rsidRPr="008D7C4F">
              <w:rPr>
                <w:b/>
                <w:lang w:val="de-DE" w:eastAsia="de-DE"/>
              </w:rPr>
              <w:t xml:space="preserve"> [</w:t>
            </w:r>
            <w:proofErr w:type="spellStart"/>
            <w:r w:rsidRPr="008D7C4F">
              <w:rPr>
                <w:b/>
                <w:lang w:val="de-DE" w:eastAsia="de-DE"/>
              </w:rPr>
              <w:t>ns</w:t>
            </w:r>
            <w:proofErr w:type="spellEnd"/>
            <w:r w:rsidRPr="008D7C4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tcPr>
          <w:p w14:paraId="6E11C3E3" w14:textId="77777777" w:rsidR="002D5EE2" w:rsidRPr="008D7C4F" w:rsidRDefault="002D5EE2" w:rsidP="00407817">
            <w:pPr>
              <w:spacing w:after="0" w:line="240" w:lineRule="auto"/>
              <w:jc w:val="center"/>
              <w:rPr>
                <w:b/>
                <w:lang w:eastAsia="de-DE"/>
              </w:rPr>
            </w:pPr>
            <w:r w:rsidRPr="008D7C4F">
              <w:rPr>
                <w:b/>
                <w:lang w:eastAsia="de-DE"/>
              </w:rPr>
              <w:t>Max Ta step size [µs]</w:t>
            </w:r>
          </w:p>
        </w:tc>
      </w:tr>
      <w:tr w:rsidR="002D5EE2" w:rsidRPr="008D7C4F" w14:paraId="55118033" w14:textId="77777777" w:rsidTr="0040781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2F52B6" w14:textId="77777777" w:rsidR="002D5EE2" w:rsidRPr="008D7C4F" w:rsidRDefault="002D5EE2" w:rsidP="00407817">
            <w:pPr>
              <w:spacing w:after="0" w:line="240" w:lineRule="auto"/>
            </w:pPr>
            <w:r w:rsidRPr="008D7C4F">
              <w:rPr>
                <w:lang w:val="de-DE" w:eastAsia="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51019" w14:textId="77777777" w:rsidR="002D5EE2" w:rsidRPr="008D7C4F" w:rsidRDefault="002D5EE2" w:rsidP="00407817">
            <w:pPr>
              <w:spacing w:after="0" w:line="240" w:lineRule="auto"/>
            </w:pPr>
            <w:r w:rsidRPr="008D7C4F">
              <w:rPr>
                <w:lang w:val="de-DE" w:eastAsia="de-DE"/>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74BD8" w14:textId="77777777" w:rsidR="002D5EE2" w:rsidRPr="008D7C4F" w:rsidRDefault="002D5EE2" w:rsidP="00407817">
            <w:pPr>
              <w:spacing w:after="0" w:line="240" w:lineRule="auto"/>
            </w:pPr>
            <w:r w:rsidRPr="008D7C4F">
              <w:rPr>
                <w:lang w:val="de-DE" w:eastAsia="de-DE"/>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5A996" w14:textId="77777777" w:rsidR="002D5EE2" w:rsidRPr="008D7C4F" w:rsidRDefault="002D5EE2" w:rsidP="00407817">
            <w:pPr>
              <w:spacing w:after="0" w:line="240" w:lineRule="auto"/>
            </w:pPr>
            <w:r w:rsidRPr="008D7C4F">
              <w:rPr>
                <w:lang w:val="de-DE" w:eastAsia="de-DE"/>
              </w:rP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7AC98" w14:textId="77777777" w:rsidR="002D5EE2" w:rsidRPr="008D7C4F" w:rsidRDefault="002D5EE2" w:rsidP="00407817">
            <w:pPr>
              <w:spacing w:after="0" w:line="240" w:lineRule="auto"/>
            </w:pPr>
            <w:r w:rsidRPr="008D7C4F">
              <w:rPr>
                <w:i/>
                <w:iCs/>
                <w:lang w:val="de-DE" w:eastAsia="de-DE"/>
              </w:rPr>
              <w:t>520.83</w:t>
            </w:r>
          </w:p>
        </w:tc>
        <w:tc>
          <w:tcPr>
            <w:tcW w:w="0" w:type="auto"/>
            <w:tcBorders>
              <w:top w:val="single" w:sz="4" w:space="0" w:color="auto"/>
              <w:left w:val="single" w:sz="4" w:space="0" w:color="auto"/>
              <w:bottom w:val="single" w:sz="4" w:space="0" w:color="auto"/>
              <w:right w:val="single" w:sz="4" w:space="0" w:color="auto"/>
            </w:tcBorders>
            <w:vAlign w:val="center"/>
          </w:tcPr>
          <w:p w14:paraId="29E5198A" w14:textId="77777777" w:rsidR="002D5EE2" w:rsidRPr="008D7C4F" w:rsidRDefault="002D5EE2" w:rsidP="00407817">
            <w:pPr>
              <w:spacing w:after="0" w:line="240" w:lineRule="auto"/>
              <w:jc w:val="center"/>
              <w:rPr>
                <w:i/>
                <w:iCs/>
                <w:lang w:val="de-DE" w:eastAsia="de-DE"/>
              </w:rPr>
            </w:pPr>
            <w:r w:rsidRPr="008D7C4F">
              <w:rPr>
                <w:i/>
                <w:iCs/>
                <w:lang w:val="de-DE" w:eastAsia="de-DE"/>
              </w:rPr>
              <w:t>16,6</w:t>
            </w:r>
          </w:p>
        </w:tc>
      </w:tr>
      <w:tr w:rsidR="002D5EE2" w:rsidRPr="008D7C4F" w14:paraId="09CF825D" w14:textId="77777777" w:rsidTr="0040781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6FFFCB" w14:textId="77777777" w:rsidR="002D5EE2" w:rsidRPr="008D7C4F" w:rsidRDefault="002D5EE2" w:rsidP="00407817">
            <w:pPr>
              <w:spacing w:after="0" w:line="240" w:lineRule="auto"/>
            </w:pPr>
            <w:r w:rsidRPr="008D7C4F">
              <w:rPr>
                <w:lang w:val="de-DE" w:eastAsia="de-DE"/>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4CB5D" w14:textId="77777777" w:rsidR="002D5EE2" w:rsidRPr="008D7C4F" w:rsidRDefault="002D5EE2" w:rsidP="00407817">
            <w:pPr>
              <w:spacing w:after="0" w:line="240" w:lineRule="auto"/>
            </w:pPr>
            <w:r w:rsidRPr="008D7C4F">
              <w:rPr>
                <w:lang w:val="de-DE" w:eastAsia="de-DE"/>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A869A" w14:textId="77777777" w:rsidR="002D5EE2" w:rsidRPr="008D7C4F" w:rsidRDefault="002D5EE2" w:rsidP="00407817">
            <w:pPr>
              <w:spacing w:after="0" w:line="240" w:lineRule="auto"/>
            </w:pPr>
            <w:r w:rsidRPr="008D7C4F">
              <w:rPr>
                <w:lang w:val="de-DE" w:eastAsia="de-DE"/>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A974A" w14:textId="77777777" w:rsidR="002D5EE2" w:rsidRPr="008D7C4F" w:rsidRDefault="002D5EE2" w:rsidP="00407817">
            <w:pPr>
              <w:spacing w:after="0" w:line="240" w:lineRule="auto"/>
            </w:pPr>
            <w:r w:rsidRPr="008D7C4F">
              <w:rPr>
                <w:lang w:val="de-DE" w:eastAsia="de-DE"/>
              </w:rP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AC773" w14:textId="77777777" w:rsidR="002D5EE2" w:rsidRPr="008D7C4F" w:rsidRDefault="002D5EE2" w:rsidP="00407817">
            <w:pPr>
              <w:spacing w:after="0" w:line="240" w:lineRule="auto"/>
            </w:pPr>
            <w:r w:rsidRPr="008D7C4F">
              <w:rPr>
                <w:i/>
                <w:iCs/>
                <w:lang w:val="de-DE" w:eastAsia="de-DE"/>
              </w:rPr>
              <w:t>260.42</w:t>
            </w:r>
          </w:p>
        </w:tc>
        <w:tc>
          <w:tcPr>
            <w:tcW w:w="0" w:type="auto"/>
            <w:tcBorders>
              <w:top w:val="single" w:sz="4" w:space="0" w:color="auto"/>
              <w:left w:val="single" w:sz="4" w:space="0" w:color="auto"/>
              <w:bottom w:val="single" w:sz="4" w:space="0" w:color="auto"/>
              <w:right w:val="single" w:sz="4" w:space="0" w:color="auto"/>
            </w:tcBorders>
            <w:vAlign w:val="center"/>
          </w:tcPr>
          <w:p w14:paraId="24527141" w14:textId="77777777" w:rsidR="002D5EE2" w:rsidRPr="008D7C4F" w:rsidRDefault="002D5EE2" w:rsidP="00407817">
            <w:pPr>
              <w:spacing w:after="0" w:line="240" w:lineRule="auto"/>
              <w:jc w:val="center"/>
              <w:rPr>
                <w:i/>
                <w:iCs/>
                <w:lang w:val="de-DE" w:eastAsia="de-DE"/>
              </w:rPr>
            </w:pPr>
            <w:r w:rsidRPr="008D7C4F">
              <w:rPr>
                <w:i/>
                <w:iCs/>
                <w:lang w:val="de-DE" w:eastAsia="de-DE"/>
              </w:rPr>
              <w:t>8,3</w:t>
            </w:r>
          </w:p>
        </w:tc>
      </w:tr>
      <w:tr w:rsidR="002D5EE2" w:rsidRPr="008D7C4F" w14:paraId="20DC1EE9" w14:textId="77777777" w:rsidTr="0040781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8E2A7" w14:textId="77777777" w:rsidR="002D5EE2" w:rsidRPr="008D7C4F" w:rsidRDefault="002D5EE2" w:rsidP="00407817">
            <w:pPr>
              <w:spacing w:after="0" w:line="240" w:lineRule="auto"/>
            </w:pPr>
            <w:r w:rsidRPr="008D7C4F">
              <w:rPr>
                <w:lang w:val="de-DE" w:eastAsia="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C1BB3" w14:textId="77777777" w:rsidR="002D5EE2" w:rsidRPr="008D7C4F" w:rsidRDefault="002D5EE2" w:rsidP="00407817">
            <w:pPr>
              <w:spacing w:after="0" w:line="240" w:lineRule="auto"/>
            </w:pPr>
            <w:r w:rsidRPr="008D7C4F">
              <w:rPr>
                <w:lang w:val="de-DE" w:eastAsia="de-DE"/>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F859B" w14:textId="77777777" w:rsidR="002D5EE2" w:rsidRPr="008D7C4F" w:rsidRDefault="002D5EE2" w:rsidP="00407817">
            <w:pPr>
              <w:spacing w:after="0" w:line="240" w:lineRule="auto"/>
            </w:pPr>
            <w:r w:rsidRPr="008D7C4F">
              <w:rPr>
                <w:lang w:val="de-DE" w:eastAsia="de-DE"/>
              </w:rPr>
              <w:t>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7483" w14:textId="77777777" w:rsidR="002D5EE2" w:rsidRPr="008D7C4F" w:rsidRDefault="002D5EE2" w:rsidP="00407817">
            <w:pPr>
              <w:spacing w:after="0" w:line="240" w:lineRule="auto"/>
            </w:pPr>
            <w:r w:rsidRPr="008D7C4F">
              <w:rPr>
                <w:lang w:val="de-DE" w:eastAsia="de-DE"/>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379F6" w14:textId="77777777" w:rsidR="002D5EE2" w:rsidRPr="008D7C4F" w:rsidRDefault="002D5EE2" w:rsidP="00407817">
            <w:pPr>
              <w:spacing w:after="0" w:line="240" w:lineRule="auto"/>
            </w:pPr>
            <w:r w:rsidRPr="008D7C4F">
              <w:rPr>
                <w:i/>
                <w:iCs/>
                <w:lang w:val="de-DE" w:eastAsia="de-DE"/>
              </w:rPr>
              <w:t>130.21</w:t>
            </w:r>
          </w:p>
        </w:tc>
        <w:tc>
          <w:tcPr>
            <w:tcW w:w="0" w:type="auto"/>
            <w:tcBorders>
              <w:top w:val="single" w:sz="4" w:space="0" w:color="auto"/>
              <w:left w:val="single" w:sz="4" w:space="0" w:color="auto"/>
              <w:bottom w:val="single" w:sz="4" w:space="0" w:color="auto"/>
              <w:right w:val="single" w:sz="4" w:space="0" w:color="auto"/>
            </w:tcBorders>
            <w:vAlign w:val="center"/>
          </w:tcPr>
          <w:p w14:paraId="751AD14B" w14:textId="77777777" w:rsidR="002D5EE2" w:rsidRPr="008D7C4F" w:rsidRDefault="002D5EE2" w:rsidP="00407817">
            <w:pPr>
              <w:spacing w:after="0" w:line="240" w:lineRule="auto"/>
              <w:jc w:val="center"/>
              <w:rPr>
                <w:i/>
                <w:iCs/>
                <w:lang w:val="de-DE" w:eastAsia="de-DE"/>
              </w:rPr>
            </w:pPr>
            <w:r w:rsidRPr="008D7C4F">
              <w:rPr>
                <w:i/>
                <w:iCs/>
                <w:lang w:val="de-DE" w:eastAsia="de-DE"/>
              </w:rPr>
              <w:t>4,15</w:t>
            </w:r>
          </w:p>
        </w:tc>
      </w:tr>
      <w:tr w:rsidR="002D5EE2" w:rsidRPr="008D7C4F" w14:paraId="753FDFD5" w14:textId="77777777" w:rsidTr="0040781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9AA371" w14:textId="77777777" w:rsidR="002D5EE2" w:rsidRPr="008D7C4F" w:rsidRDefault="002D5EE2" w:rsidP="00407817">
            <w:pPr>
              <w:spacing w:after="0" w:line="240" w:lineRule="auto"/>
            </w:pPr>
            <w:r w:rsidRPr="008D7C4F">
              <w:rPr>
                <w:lang w:val="de-DE" w:eastAsia="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F4E0" w14:textId="77777777" w:rsidR="002D5EE2" w:rsidRPr="008D7C4F" w:rsidRDefault="002D5EE2" w:rsidP="00407817">
            <w:pPr>
              <w:spacing w:after="0" w:line="240" w:lineRule="auto"/>
            </w:pPr>
            <w:r w:rsidRPr="008D7C4F">
              <w:rPr>
                <w:lang w:val="de-DE" w:eastAsia="de-DE"/>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B1283" w14:textId="77777777" w:rsidR="002D5EE2" w:rsidRPr="008D7C4F" w:rsidRDefault="002D5EE2" w:rsidP="00407817">
            <w:pPr>
              <w:spacing w:after="0" w:line="240" w:lineRule="auto"/>
            </w:pPr>
            <w:r w:rsidRPr="008D7C4F">
              <w:rPr>
                <w:lang w:val="de-DE" w:eastAsia="de-DE"/>
              </w:rPr>
              <w:t>1440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1FCF6" w14:textId="77777777" w:rsidR="002D5EE2" w:rsidRPr="008D7C4F" w:rsidRDefault="002D5EE2" w:rsidP="00407817">
            <w:pPr>
              <w:spacing w:after="0" w:line="240" w:lineRule="auto"/>
            </w:pPr>
            <w:r w:rsidRPr="008D7C4F">
              <w:rPr>
                <w:lang w:val="de-DE" w:eastAsia="de-DE"/>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24D3E" w14:textId="77777777" w:rsidR="002D5EE2" w:rsidRPr="008D7C4F" w:rsidRDefault="002D5EE2" w:rsidP="00407817">
            <w:pPr>
              <w:spacing w:after="0" w:line="240" w:lineRule="auto"/>
            </w:pPr>
            <w:r w:rsidRPr="008D7C4F">
              <w:rPr>
                <w:i/>
                <w:iCs/>
                <w:lang w:val="de-DE" w:eastAsia="de-DE"/>
              </w:rPr>
              <w:t>65.10</w:t>
            </w:r>
          </w:p>
        </w:tc>
        <w:tc>
          <w:tcPr>
            <w:tcW w:w="0" w:type="auto"/>
            <w:tcBorders>
              <w:top w:val="single" w:sz="4" w:space="0" w:color="auto"/>
              <w:left w:val="single" w:sz="4" w:space="0" w:color="auto"/>
              <w:bottom w:val="single" w:sz="4" w:space="0" w:color="auto"/>
              <w:right w:val="single" w:sz="4" w:space="0" w:color="auto"/>
            </w:tcBorders>
            <w:vAlign w:val="center"/>
          </w:tcPr>
          <w:p w14:paraId="337A4899" w14:textId="77777777" w:rsidR="002D5EE2" w:rsidRPr="008D7C4F" w:rsidRDefault="002D5EE2" w:rsidP="00407817">
            <w:pPr>
              <w:spacing w:after="0" w:line="240" w:lineRule="auto"/>
              <w:jc w:val="center"/>
              <w:rPr>
                <w:i/>
                <w:iCs/>
                <w:lang w:val="de-DE" w:eastAsia="de-DE"/>
              </w:rPr>
            </w:pPr>
            <w:r w:rsidRPr="008D7C4F">
              <w:rPr>
                <w:i/>
                <w:iCs/>
                <w:lang w:val="de-DE" w:eastAsia="de-DE"/>
              </w:rPr>
              <w:t>2,1</w:t>
            </w:r>
          </w:p>
        </w:tc>
      </w:tr>
      <w:tr w:rsidR="002D5EE2" w:rsidRPr="008D7C4F" w14:paraId="3854A543" w14:textId="77777777" w:rsidTr="0040781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AEECF" w14:textId="77777777" w:rsidR="002D5EE2" w:rsidRPr="008D7C4F" w:rsidRDefault="002D5EE2" w:rsidP="00407817">
            <w:pPr>
              <w:spacing w:after="0" w:line="240" w:lineRule="auto"/>
            </w:pPr>
            <w:r w:rsidRPr="008D7C4F">
              <w:rPr>
                <w:lang w:val="de-DE" w:eastAsia="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83B6A" w14:textId="77777777" w:rsidR="002D5EE2" w:rsidRPr="008D7C4F" w:rsidRDefault="002D5EE2" w:rsidP="00407817">
            <w:pPr>
              <w:spacing w:after="0" w:line="240" w:lineRule="auto"/>
            </w:pPr>
            <w:r w:rsidRPr="008D7C4F">
              <w:rPr>
                <w:lang w:val="de-DE" w:eastAsia="de-DE"/>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C1E89" w14:textId="77777777" w:rsidR="002D5EE2" w:rsidRPr="008D7C4F" w:rsidRDefault="002D5EE2" w:rsidP="00407817">
            <w:pPr>
              <w:spacing w:after="0" w:line="240" w:lineRule="auto"/>
            </w:pPr>
            <w:r w:rsidRPr="008D7C4F">
              <w:rPr>
                <w:lang w:val="de-DE" w:eastAsia="de-DE"/>
              </w:rPr>
              <w:t>2880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C3D1E" w14:textId="77777777" w:rsidR="002D5EE2" w:rsidRPr="008D7C4F" w:rsidRDefault="002D5EE2" w:rsidP="00407817">
            <w:pPr>
              <w:spacing w:after="0" w:line="240" w:lineRule="auto"/>
            </w:pPr>
            <w:r w:rsidRPr="008D7C4F">
              <w:rPr>
                <w:lang w:val="de-DE" w:eastAsia="de-DE"/>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18F73" w14:textId="77777777" w:rsidR="002D5EE2" w:rsidRPr="008D7C4F" w:rsidRDefault="002D5EE2" w:rsidP="00407817">
            <w:pPr>
              <w:spacing w:after="0" w:line="240" w:lineRule="auto"/>
            </w:pPr>
            <w:r w:rsidRPr="008D7C4F">
              <w:rPr>
                <w:i/>
                <w:iCs/>
                <w:lang w:val="de-DE" w:eastAsia="de-DE"/>
              </w:rPr>
              <w:t>32.55</w:t>
            </w:r>
          </w:p>
        </w:tc>
        <w:tc>
          <w:tcPr>
            <w:tcW w:w="0" w:type="auto"/>
            <w:tcBorders>
              <w:top w:val="single" w:sz="4" w:space="0" w:color="auto"/>
              <w:left w:val="single" w:sz="4" w:space="0" w:color="auto"/>
              <w:bottom w:val="single" w:sz="4" w:space="0" w:color="auto"/>
              <w:right w:val="single" w:sz="4" w:space="0" w:color="auto"/>
            </w:tcBorders>
            <w:vAlign w:val="center"/>
          </w:tcPr>
          <w:p w14:paraId="03D909AB" w14:textId="77777777" w:rsidR="002D5EE2" w:rsidRPr="008D7C4F" w:rsidRDefault="002D5EE2" w:rsidP="00407817">
            <w:pPr>
              <w:spacing w:after="0" w:line="240" w:lineRule="auto"/>
              <w:jc w:val="center"/>
              <w:rPr>
                <w:i/>
                <w:iCs/>
                <w:lang w:val="de-DE" w:eastAsia="de-DE"/>
              </w:rPr>
            </w:pPr>
            <w:r w:rsidRPr="008D7C4F">
              <w:rPr>
                <w:i/>
                <w:iCs/>
                <w:lang w:val="de-DE" w:eastAsia="de-DE"/>
              </w:rPr>
              <w:t>1</w:t>
            </w:r>
          </w:p>
        </w:tc>
      </w:tr>
    </w:tbl>
    <w:p w14:paraId="2254C166" w14:textId="77777777" w:rsidR="002D5EE2" w:rsidRPr="008D7C4F" w:rsidRDefault="002D5EE2" w:rsidP="002D5EE2">
      <w:pPr>
        <w:jc w:val="both"/>
      </w:pPr>
    </w:p>
    <w:p w14:paraId="288C3987" w14:textId="77777777" w:rsidR="002D5EE2" w:rsidRPr="008D7C4F" w:rsidRDefault="002D5EE2" w:rsidP="002D5EE2">
      <w:pPr>
        <w:jc w:val="both"/>
      </w:pPr>
      <w:r w:rsidRPr="008D7C4F">
        <w:t>This max Ta step should be valid only for extended cyclic prefix. With normal cyclic prefix, we expect this maximum step not to exceed the normal CP length (e.g. CP length is 4.7 µs in 15kHz SCS case). It means that the number of Ta commands to be sent per second to track the maximum drift of 35 µs/s is about 10 per second for 15 kHz SCS case, 40 per second for 60 kHz SCS, and 80 per second for 120 kHz SCS case. The number of Ta commands to be sent per second is important but can be implemented.</w:t>
      </w:r>
    </w:p>
    <w:p w14:paraId="7A6E8757" w14:textId="7D4B1601" w:rsidR="003D5557" w:rsidRPr="008D7C4F" w:rsidRDefault="003D5557" w:rsidP="002D5EE2">
      <w:pPr>
        <w:jc w:val="both"/>
      </w:pPr>
      <w:r w:rsidRPr="008D7C4F">
        <w:t>Another technical issue that arises is that the delay variation over the satellite link is much more than a TTI. E.g. if the subcarrier spacing (SCS) is increasing from 15 kHz to 60 kHz, the TTI goes down from 1 ms to 250 μs. The required TA adjustment range for satellite links (~3 ms in the example in Fig. 3) will become larger that the TTI with any SCS selection and the transmission timing of the UE has to be adjusted over the borders of individual TTIs.</w:t>
      </w:r>
    </w:p>
    <w:p w14:paraId="003DC1D8" w14:textId="77777777" w:rsidR="002D5EE2" w:rsidRPr="008D7C4F" w:rsidRDefault="002D5EE2" w:rsidP="002D5EE2">
      <w:pPr>
        <w:jc w:val="both"/>
      </w:pPr>
      <w:r w:rsidRPr="008D7C4F">
        <w:t>Solutions need to be investigated to ensure alignment of uplink signals over the NTN links to overcome the predictable delay of NTN.</w:t>
      </w:r>
    </w:p>
    <w:p w14:paraId="4B33625F" w14:textId="77777777" w:rsidR="009A4A68" w:rsidRPr="008D7C4F" w:rsidRDefault="009A4A68" w:rsidP="002D5EE2">
      <w:pPr>
        <w:jc w:val="both"/>
      </w:pPr>
    </w:p>
    <w:p w14:paraId="30B67908" w14:textId="5D7315B6" w:rsidR="00683D8D" w:rsidRPr="008D7C4F" w:rsidRDefault="007A3701" w:rsidP="00C758CF">
      <w:pPr>
        <w:pStyle w:val="Titre2"/>
        <w:pBdr>
          <w:top w:val="none" w:sz="0" w:space="0" w:color="auto"/>
        </w:pBdr>
        <w:overflowPunct w:val="0"/>
        <w:autoSpaceDE w:val="0"/>
        <w:autoSpaceDN w:val="0"/>
        <w:adjustRightInd w:val="0"/>
        <w:rPr>
          <w:rFonts w:eastAsia="SimSun" w:cs="Times New Roman"/>
          <w:color w:val="auto"/>
          <w:szCs w:val="20"/>
          <w:lang w:eastAsia="en-US"/>
        </w:rPr>
      </w:pPr>
      <w:r w:rsidRPr="008D7C4F">
        <w:rPr>
          <w:rFonts w:eastAsia="SimSun" w:cs="Times New Roman"/>
          <w:color w:val="auto"/>
          <w:szCs w:val="20"/>
          <w:lang w:eastAsia="en-US"/>
        </w:rPr>
        <w:t>3</w:t>
      </w:r>
      <w:r w:rsidR="00A43AF1" w:rsidRPr="008D7C4F">
        <w:rPr>
          <w:rFonts w:eastAsia="SimSun" w:cs="Times New Roman"/>
          <w:color w:val="auto"/>
          <w:szCs w:val="20"/>
          <w:lang w:eastAsia="en-US"/>
        </w:rPr>
        <w:t>.</w:t>
      </w:r>
      <w:r w:rsidR="00636297" w:rsidRPr="008D7C4F">
        <w:rPr>
          <w:rFonts w:eastAsia="SimSun" w:cs="Times New Roman"/>
          <w:color w:val="auto"/>
          <w:szCs w:val="20"/>
          <w:lang w:eastAsia="en-US"/>
        </w:rPr>
        <w:t>6</w:t>
      </w:r>
      <w:r w:rsidR="00FC2FB6" w:rsidRPr="008D7C4F">
        <w:rPr>
          <w:rFonts w:eastAsia="SimSun" w:cs="Times New Roman"/>
          <w:color w:val="auto"/>
          <w:szCs w:val="20"/>
          <w:lang w:eastAsia="en-US"/>
        </w:rPr>
        <w:t xml:space="preserve"> </w:t>
      </w:r>
      <w:r w:rsidR="00C32C91" w:rsidRPr="008D7C4F">
        <w:t>MAC/RLC procedures</w:t>
      </w:r>
    </w:p>
    <w:p w14:paraId="1D043CE0" w14:textId="4642AE21" w:rsidR="00C32C91" w:rsidRPr="008D7C4F" w:rsidRDefault="00C32C91" w:rsidP="00516228">
      <w:pPr>
        <w:jc w:val="both"/>
      </w:pPr>
      <w:r w:rsidRPr="008D7C4F">
        <w:t>ARQ requires that the transmitted packets be buffered in anticipation of potential packet loss and released only after the successful receipt of an acknowledgement, or until a time-out mechanism reinitiating a retransmission. The long round trip delay (270 ms at the maximum between UE and satellite base station for GSO satellite) requires larger transmission buffer, and potentially limits the number of retransmission allowed for each transmitted packet in both the forward and return links. Note that in LEO satellite systems, the ARQ transmit buffer size, and retransmission mechanism must be designed for the longest possible delay, i.e. at the lowest elevation (7 ms when the satellite is seen with 10° elevation).</w:t>
      </w:r>
    </w:p>
    <w:p w14:paraId="6BEB7830" w14:textId="77777777" w:rsidR="00C32C91" w:rsidRPr="008D7C4F" w:rsidRDefault="00C32C91" w:rsidP="00016502">
      <w:pPr>
        <w:jc w:val="both"/>
        <w:rPr>
          <w:lang w:val="en-GB"/>
        </w:rPr>
      </w:pPr>
      <w:r w:rsidRPr="008D7C4F">
        <w:rPr>
          <w:lang w:val="en-GB"/>
        </w:rPr>
        <w:t>For efficient ARQ operation in GEO or NGSO satellite networks, NR UE and base stations must size their transmission buffer and the retransmission time-out mechanism according to the longest round-trip delay to be anticipated.  The number of retransmissions allowed before a packet is dropped from the retransmission buffer may also be adjusted.</w:t>
      </w:r>
    </w:p>
    <w:p w14:paraId="436EBAF4" w14:textId="77777777" w:rsidR="00C32C91" w:rsidRPr="008D7C4F" w:rsidRDefault="00C32C91" w:rsidP="00016502">
      <w:pPr>
        <w:jc w:val="both"/>
      </w:pPr>
      <w:r w:rsidRPr="008D7C4F">
        <w:t xml:space="preserve">UL scheduling delay parameters are expected to be redefined to accommodate the RTT of the associated deployment scenario. </w:t>
      </w:r>
    </w:p>
    <w:p w14:paraId="2C783284" w14:textId="77777777" w:rsidR="0058106F" w:rsidRPr="008D7C4F" w:rsidRDefault="0058106F" w:rsidP="00C32C91">
      <w:pPr>
        <w:rPr>
          <w:lang w:val="en-GB"/>
        </w:rPr>
      </w:pPr>
    </w:p>
    <w:p w14:paraId="263D6A17" w14:textId="732EEFA4" w:rsidR="00C32C91" w:rsidRPr="008D7C4F" w:rsidRDefault="007A3701" w:rsidP="00C32C91">
      <w:pPr>
        <w:pStyle w:val="Titre2"/>
        <w:pBdr>
          <w:top w:val="none" w:sz="0" w:space="0" w:color="auto"/>
        </w:pBdr>
        <w:overflowPunct w:val="0"/>
        <w:autoSpaceDE w:val="0"/>
        <w:autoSpaceDN w:val="0"/>
        <w:adjustRightInd w:val="0"/>
        <w:rPr>
          <w:rFonts w:eastAsia="SimSun" w:cs="Times New Roman"/>
          <w:color w:val="auto"/>
          <w:szCs w:val="20"/>
          <w:lang w:eastAsia="en-US"/>
        </w:rPr>
      </w:pPr>
      <w:r w:rsidRPr="008D7C4F">
        <w:rPr>
          <w:rFonts w:eastAsia="SimSun" w:cs="Times New Roman"/>
          <w:color w:val="auto"/>
          <w:szCs w:val="20"/>
          <w:lang w:eastAsia="en-US"/>
        </w:rPr>
        <w:t>3.</w:t>
      </w:r>
      <w:r w:rsidR="00636297" w:rsidRPr="008D7C4F">
        <w:rPr>
          <w:rFonts w:eastAsia="SimSun" w:cs="Times New Roman"/>
          <w:color w:val="auto"/>
          <w:szCs w:val="20"/>
          <w:lang w:eastAsia="en-US"/>
        </w:rPr>
        <w:t>7</w:t>
      </w:r>
      <w:r w:rsidR="00C32C91" w:rsidRPr="008D7C4F">
        <w:rPr>
          <w:rFonts w:eastAsia="SimSun" w:cs="Times New Roman"/>
          <w:color w:val="auto"/>
          <w:szCs w:val="20"/>
          <w:lang w:eastAsia="en-US"/>
        </w:rPr>
        <w:t xml:space="preserve"> </w:t>
      </w:r>
      <w:r w:rsidR="00C32C91" w:rsidRPr="008D7C4F">
        <w:t>Physical layer procedures (ACM, power control)</w:t>
      </w:r>
    </w:p>
    <w:p w14:paraId="05768351" w14:textId="1E908E2E" w:rsidR="00C32C91" w:rsidRPr="008D7C4F" w:rsidRDefault="00C32C91" w:rsidP="00C32C91">
      <w:pPr>
        <w:jc w:val="both"/>
        <w:rPr>
          <w:lang w:eastAsia="zh-CN"/>
        </w:rPr>
      </w:pPr>
      <w:r w:rsidRPr="008D7C4F">
        <w:rPr>
          <w:lang w:eastAsia="zh-CN"/>
        </w:rPr>
        <w:t xml:space="preserve">While slower reaction on the control loops affects the performance of all the control loops between UE and base station, most of them require some adjustments in implementation, but not fundamentally different design. While the link margin may be different for specific links and systems depending on </w:t>
      </w:r>
      <w:r w:rsidRPr="008D7C4F">
        <w:rPr>
          <w:lang w:eastAsia="zh-CN"/>
        </w:rPr>
        <w:lastRenderedPageBreak/>
        <w:t xml:space="preserve">applications, satellite power is typically at a premium. Due to the large free space loss and limited EIRP and battery power available at UE, power margin is also limited for mobile terminals.  Thus, a very limited amount of power control, if at all, is available for the GEO satellite links. Due to the long delay in the loop, the power control is not expected to track fast fading, but may be used to track slower power variations. </w:t>
      </w:r>
    </w:p>
    <w:p w14:paraId="2E987459" w14:textId="77777777" w:rsidR="00C32C91" w:rsidRPr="008D7C4F" w:rsidRDefault="00C32C91" w:rsidP="00C32C91">
      <w:pPr>
        <w:jc w:val="both"/>
        <w:rPr>
          <w:lang w:eastAsia="zh-CN"/>
        </w:rPr>
      </w:pPr>
      <w:r w:rsidRPr="008D7C4F">
        <w:rPr>
          <w:lang w:eastAsia="zh-CN"/>
        </w:rPr>
        <w:t>For Ka-band satellites, ACM is an essential tool that maintains connection through rain fades, which typically changes somewhat slower than the ½ second round trip delay.  It generally works well with some hysteresis to avoid excessive oscillations between two ACM modulation coding modes.  But, this reaction time is too slow for ACM to adapt for changes of signal strength for mobile terminals when line of sight is interrupted by shadowing.</w:t>
      </w:r>
    </w:p>
    <w:p w14:paraId="02A6F4D9" w14:textId="572B4587" w:rsidR="00C32C91" w:rsidRPr="008D7C4F" w:rsidRDefault="00C32C91" w:rsidP="00C32C91">
      <w:pPr>
        <w:jc w:val="both"/>
        <w:rPr>
          <w:lang w:eastAsia="zh-CN"/>
        </w:rPr>
      </w:pPr>
      <w:r w:rsidRPr="008D7C4F">
        <w:rPr>
          <w:lang w:eastAsia="zh-CN"/>
        </w:rPr>
        <w:t>For GEO systems in S-band, the main issue is multipath fading, which can be much faster than ½ second round trip delay.  As such, ACM will not be able to follow it.  ACM algorithm typically attempts to settle on a modulation coding mode that closes the link if possible, by giving up some power to maintain a margin. For LEO satellites, ACM may also be used to adapt for the large variation of free space loss.  The variation is sufficiently slow compared to the 20 ms worst case round trip delay.  It should also be able to react to shadowing fades to a large extent, but still unable to follow fast fading.</w:t>
      </w:r>
    </w:p>
    <w:p w14:paraId="1D8BE8D2" w14:textId="77777777" w:rsidR="00C32C91" w:rsidRPr="008D7C4F" w:rsidRDefault="00C32C91" w:rsidP="00C32C91">
      <w:r w:rsidRPr="008D7C4F">
        <w:t>Further studies need to be performed to define the required margin for power and ACM control loops to accommodate to the long RTT.</w:t>
      </w:r>
    </w:p>
    <w:p w14:paraId="5A2A5CF8" w14:textId="5FD4E73E" w:rsidR="00C32C91" w:rsidRPr="008D7C4F" w:rsidRDefault="00C32C91" w:rsidP="00C32C91">
      <w:pPr>
        <w:jc w:val="both"/>
      </w:pPr>
    </w:p>
    <w:p w14:paraId="79D11ACB" w14:textId="70B991F4" w:rsidR="00C32C91" w:rsidRPr="008D7C4F" w:rsidRDefault="007A3701" w:rsidP="00C32C91">
      <w:pPr>
        <w:pStyle w:val="Titre2"/>
        <w:pBdr>
          <w:top w:val="none" w:sz="0" w:space="0" w:color="auto"/>
        </w:pBdr>
        <w:overflowPunct w:val="0"/>
        <w:autoSpaceDE w:val="0"/>
        <w:autoSpaceDN w:val="0"/>
        <w:adjustRightInd w:val="0"/>
        <w:rPr>
          <w:rFonts w:eastAsia="SimSun" w:cs="Times New Roman"/>
          <w:color w:val="auto"/>
          <w:szCs w:val="20"/>
          <w:lang w:eastAsia="en-US"/>
        </w:rPr>
      </w:pPr>
      <w:r w:rsidRPr="008D7C4F">
        <w:rPr>
          <w:rFonts w:eastAsia="SimSun" w:cs="Times New Roman"/>
          <w:color w:val="auto"/>
          <w:szCs w:val="20"/>
          <w:lang w:eastAsia="en-US"/>
        </w:rPr>
        <w:t>3.</w:t>
      </w:r>
      <w:r w:rsidR="00636297" w:rsidRPr="008D7C4F">
        <w:rPr>
          <w:rFonts w:eastAsia="SimSun" w:cs="Times New Roman"/>
          <w:color w:val="auto"/>
          <w:szCs w:val="20"/>
          <w:lang w:eastAsia="en-US"/>
        </w:rPr>
        <w:t>8</w:t>
      </w:r>
      <w:r w:rsidR="00C32C91" w:rsidRPr="008D7C4F">
        <w:rPr>
          <w:rFonts w:eastAsia="SimSun" w:cs="Times New Roman"/>
          <w:color w:val="auto"/>
          <w:szCs w:val="20"/>
          <w:lang w:eastAsia="en-US"/>
        </w:rPr>
        <w:t xml:space="preserve"> Random access</w:t>
      </w:r>
    </w:p>
    <w:p w14:paraId="65FDC452" w14:textId="352C97B8" w:rsidR="00C32C91" w:rsidRPr="008D7C4F" w:rsidRDefault="00C32C91" w:rsidP="00C32C91">
      <w:pPr>
        <w:rPr>
          <w:rFonts w:ascii="Times New Roman" w:hAnsi="Times New Roman" w:cs="Times New Roman"/>
          <w:b/>
          <w:u w:val="single"/>
        </w:rPr>
      </w:pPr>
      <w:r w:rsidRPr="008D7C4F">
        <w:rPr>
          <w:rFonts w:ascii="Times New Roman" w:hAnsi="Times New Roman" w:cs="Times New Roman"/>
          <w:b/>
          <w:u w:val="single"/>
        </w:rPr>
        <w:t xml:space="preserve">Random Access Response </w:t>
      </w:r>
      <w:r w:rsidRPr="00016502">
        <w:rPr>
          <w:rFonts w:ascii="Times New Roman" w:hAnsi="Times New Roman" w:cs="Times New Roman"/>
          <w:b/>
          <w:u w:val="single" w:color="FFFF00"/>
        </w:rPr>
        <w:t>[</w:t>
      </w:r>
      <w:r w:rsidR="00D907A3" w:rsidRPr="00016502">
        <w:rPr>
          <w:u w:color="FFFF00"/>
        </w:rPr>
        <w:t>38-1</w:t>
      </w:r>
      <w:r w:rsidRPr="00016502">
        <w:rPr>
          <w:rFonts w:ascii="Times New Roman" w:hAnsi="Times New Roman" w:cs="Times New Roman"/>
          <w:b/>
          <w:u w:val="single" w:color="FFFF00"/>
        </w:rPr>
        <w:t>]</w:t>
      </w:r>
    </w:p>
    <w:p w14:paraId="53617141" w14:textId="77777777" w:rsidR="00C32C91" w:rsidRPr="008D7C4F" w:rsidRDefault="00C32C91" w:rsidP="00C32C91">
      <w:pPr>
        <w:rPr>
          <w:b/>
          <w:bCs/>
        </w:rPr>
      </w:pPr>
      <w:r w:rsidRPr="008D7C4F">
        <w:t xml:space="preserve">For non-terrestrial networks, the round-trip time can be much larger than the round-trip time in terrestrial networks (up to 600 ms for the case of GEO satellites, with bent pipe architecture). However, the current window for the PRACH response in NR which starts at </w:t>
      </w:r>
      <w:r w:rsidRPr="00016502">
        <w:rPr>
          <w:position w:val="-12"/>
        </w:rPr>
        <w:object w:dxaOrig="4095" w:dyaOrig="405" w14:anchorId="230E61F8">
          <v:shape id="_x0000_i1033" type="#_x0000_t75" style="width:204.75pt;height:20.25pt" o:ole="">
            <v:imagedata r:id="rId32" o:title=""/>
          </v:shape>
          <o:OLEObject Type="Embed" ProgID="Equation.3" ShapeID="_x0000_i1033" DrawAspect="Content" ObjectID="_1589606618" r:id="rId33"/>
        </w:object>
      </w:r>
      <w:r w:rsidRPr="008D7C4F">
        <w:t xml:space="preserve"> symbols after transmitting the last symbol of the preamble and has the size of “rar-WindowLength” cannot cover this round-trip time. Therefore, the random access response window length in NR should be revisited to accommodate the round-trip time of NTN.</w:t>
      </w:r>
    </w:p>
    <w:p w14:paraId="5C42A0EE" w14:textId="1B1E9B0C" w:rsidR="00C32C91" w:rsidRPr="008D7C4F" w:rsidRDefault="00C32C91" w:rsidP="00C32C91">
      <w:pPr>
        <w:rPr>
          <w:b/>
        </w:rPr>
      </w:pPr>
      <w:r w:rsidRPr="008D7C4F">
        <w:rPr>
          <w:b/>
        </w:rPr>
        <w:t>RACH Sequence and Format [</w:t>
      </w:r>
      <w:r w:rsidR="00D907A3" w:rsidRPr="00016502">
        <w:rPr>
          <w:u w:color="FFFF00"/>
        </w:rPr>
        <w:t>38-1</w:t>
      </w:r>
      <w:r w:rsidRPr="00016502">
        <w:rPr>
          <w:b/>
        </w:rPr>
        <w:t>][</w:t>
      </w:r>
      <w:r w:rsidR="00D907A3" w:rsidRPr="00016502">
        <w:rPr>
          <w:u w:color="FFFF00"/>
        </w:rPr>
        <w:t xml:space="preserve"> 38-2</w:t>
      </w:r>
      <w:r w:rsidRPr="00016502">
        <w:rPr>
          <w:b/>
        </w:rPr>
        <w:t>][</w:t>
      </w:r>
      <w:r w:rsidR="00D907A3" w:rsidRPr="00016502">
        <w:rPr>
          <w:u w:color="FFFF00"/>
        </w:rPr>
        <w:t xml:space="preserve"> 38-3</w:t>
      </w:r>
      <w:r w:rsidRPr="00016502">
        <w:rPr>
          <w:b/>
        </w:rPr>
        <w:t>][</w:t>
      </w:r>
      <w:r w:rsidR="00D907A3" w:rsidRPr="00016502">
        <w:rPr>
          <w:u w:color="FFFF00"/>
        </w:rPr>
        <w:t xml:space="preserve"> 38-4</w:t>
      </w:r>
      <w:r w:rsidRPr="00016502">
        <w:rPr>
          <w:b/>
        </w:rPr>
        <w:t>][</w:t>
      </w:r>
      <w:r w:rsidR="00D907A3" w:rsidRPr="00016502">
        <w:rPr>
          <w:u w:color="FFFF00"/>
        </w:rPr>
        <w:t xml:space="preserve"> 38-5</w:t>
      </w:r>
      <w:r w:rsidRPr="008D7C4F">
        <w:rPr>
          <w:b/>
        </w:rPr>
        <w:t>]</w:t>
      </w:r>
    </w:p>
    <w:p w14:paraId="0324ADE5" w14:textId="77777777" w:rsidR="00C32C91" w:rsidRPr="008D7C4F" w:rsidRDefault="00C32C91" w:rsidP="00C32C91">
      <w:pPr>
        <w:jc w:val="both"/>
        <w:rPr>
          <w:rFonts w:eastAsia="Times New Roman" w:cstheme="minorHAnsi"/>
          <w:color w:val="000000" w:themeColor="dark1"/>
          <w:kern w:val="24"/>
          <w:lang w:eastAsia="en-GB"/>
        </w:rPr>
      </w:pPr>
      <w:r w:rsidRPr="008D7C4F">
        <w:rPr>
          <w:rFonts w:cs="Times New Roman"/>
        </w:rPr>
        <w:t xml:space="preserve">Another problem in NTN is to design new PRACH formats with appropriate length of preamble and CP and guard time to be compatible with non-terrestrial communication needs (including large round-trip ambiguity) and have appropriate signaling mechanism for its configuration, for example if the CP length in NTN PRACH is still defined according to absolute propagation delay, the CP overhead would be unreasonably high, which will lead to a significant waste of random access resource. The PRACH format identifies the preamble sequence length (and the option of its repetition) and the length of CP and guard time and also the subcarrier spacing. Appropriate length of CP and guard time (GT) depends on the round-trip time variation (or the round-trip time ambiguity). On the other hand, preamble sequence length and its repetition and subcarrier spacing affects the coverage. For non-terrestrial networks, </w:t>
      </w:r>
      <w:r w:rsidRPr="008D7C4F">
        <w:rPr>
          <w:rFonts w:cs="Times New Roman"/>
        </w:rPr>
        <w:lastRenderedPageBreak/>
        <w:t xml:space="preserve">depending on the architecture and the type of the non-terrestrial gNodeB (or bent pipe) there is a wide range of round-trip time ambiguity and also coverage requirements (based on very different noise budgets for the uplink). This wide range of selection may require too many PRACH formats and excessive required signaling in SIB. New PRACH formats should be considered in NR to address the round-trip time variation and coverage issues of NTN. </w:t>
      </w:r>
    </w:p>
    <w:p w14:paraId="312FDF18" w14:textId="002EE1A6" w:rsidR="00C32C91" w:rsidRPr="008D7C4F" w:rsidRDefault="00C32C91" w:rsidP="00C32C91">
      <w:pPr>
        <w:jc w:val="both"/>
      </w:pPr>
      <w:r w:rsidRPr="008D7C4F">
        <w:t xml:space="preserve">The cell coverage is limited by CP length of the preamble sequence. Up to 102 km cell radius can be supported by NR </w:t>
      </w:r>
      <w:r w:rsidRPr="00016502">
        <w:rPr>
          <w:u w:color="FFFF00"/>
        </w:rPr>
        <w:t>[</w:t>
      </w:r>
      <w:r w:rsidR="00D907A3" w:rsidRPr="00016502">
        <w:rPr>
          <w:u w:color="FFFF00"/>
        </w:rPr>
        <w:t>38-5</w:t>
      </w:r>
      <w:r w:rsidRPr="00016502">
        <w:rPr>
          <w:u w:color="FFFF00"/>
        </w:rPr>
        <w:t>]</w:t>
      </w:r>
      <w:r w:rsidRPr="008D7C4F">
        <w:t>, as shown in Tables 2.3-1 and Table 2.3-2.</w:t>
      </w:r>
    </w:p>
    <w:p w14:paraId="148E5857" w14:textId="77777777" w:rsidR="00C32C91" w:rsidRPr="008D7C4F" w:rsidRDefault="00C32C91" w:rsidP="00C32C91">
      <w:pPr>
        <w:jc w:val="center"/>
      </w:pPr>
      <w:r w:rsidRPr="008D7C4F">
        <w:rPr>
          <w:rFonts w:cs="Times New Roman"/>
          <w:lang w:eastAsia="zh-CN"/>
        </w:rPr>
        <w:t xml:space="preserve">Table 2.3-1 </w:t>
      </w:r>
      <w:r w:rsidRPr="008D7C4F">
        <w:t>PRACH CP durations with long PRACH sequences</w:t>
      </w:r>
    </w:p>
    <w:tbl>
      <w:tblPr>
        <w:tblStyle w:val="Grilledutableau"/>
        <w:tblW w:w="6374" w:type="dxa"/>
        <w:jc w:val="center"/>
        <w:tblLayout w:type="fixed"/>
        <w:tblLook w:val="04A0" w:firstRow="1" w:lastRow="0" w:firstColumn="1" w:lastColumn="0" w:noHBand="0" w:noVBand="1"/>
      </w:tblPr>
      <w:tblGrid>
        <w:gridCol w:w="1274"/>
        <w:gridCol w:w="1275"/>
        <w:gridCol w:w="1274"/>
        <w:gridCol w:w="1274"/>
        <w:gridCol w:w="1277"/>
      </w:tblGrid>
      <w:tr w:rsidR="00C32C91" w:rsidRPr="008D7C4F" w14:paraId="59D90CBF" w14:textId="77777777" w:rsidTr="00C32C91">
        <w:trPr>
          <w:jc w:val="center"/>
        </w:trPr>
        <w:tc>
          <w:tcPr>
            <w:tcW w:w="1271" w:type="dxa"/>
          </w:tcPr>
          <w:p w14:paraId="33DFCA10" w14:textId="77777777" w:rsidR="00C32C91" w:rsidRPr="008D7C4F" w:rsidRDefault="00C32C91" w:rsidP="00C32C91">
            <w:pPr>
              <w:spacing w:after="0" w:line="252" w:lineRule="auto"/>
              <w:jc w:val="center"/>
            </w:pPr>
          </w:p>
        </w:tc>
        <w:tc>
          <w:tcPr>
            <w:tcW w:w="5103" w:type="dxa"/>
            <w:gridSpan w:val="4"/>
          </w:tcPr>
          <w:p w14:paraId="2B579417" w14:textId="77777777" w:rsidR="00C32C91" w:rsidRPr="008D7C4F" w:rsidRDefault="00C32C91" w:rsidP="00C32C91">
            <w:pPr>
              <w:spacing w:after="0" w:line="252" w:lineRule="auto"/>
              <w:jc w:val="center"/>
            </w:pPr>
            <w:r w:rsidRPr="008D7C4F">
              <w:t xml:space="preserve">PRACH CP durations </w:t>
            </w:r>
          </w:p>
        </w:tc>
      </w:tr>
      <w:tr w:rsidR="00C32C91" w:rsidRPr="008D7C4F" w14:paraId="76BA064C" w14:textId="77777777" w:rsidTr="00C32C91">
        <w:trPr>
          <w:jc w:val="center"/>
        </w:trPr>
        <w:tc>
          <w:tcPr>
            <w:tcW w:w="1274" w:type="dxa"/>
            <w:vAlign w:val="center"/>
          </w:tcPr>
          <w:p w14:paraId="76CAE5C8" w14:textId="77777777" w:rsidR="00C32C91" w:rsidRPr="008D7C4F" w:rsidRDefault="00C32C91" w:rsidP="00C32C91">
            <w:pPr>
              <w:spacing w:after="0" w:line="252" w:lineRule="auto"/>
              <w:jc w:val="center"/>
            </w:pPr>
            <w:r w:rsidRPr="008D7C4F">
              <w:t xml:space="preserve">T_CP </w:t>
            </w:r>
            <w:r w:rsidRPr="008D7C4F">
              <w:rPr>
                <w:u w:color="FFFF00"/>
              </w:rPr>
              <w:t>[ms]</w:t>
            </w:r>
          </w:p>
        </w:tc>
        <w:tc>
          <w:tcPr>
            <w:tcW w:w="1275" w:type="dxa"/>
          </w:tcPr>
          <w:p w14:paraId="60DE2729" w14:textId="77777777" w:rsidR="00C32C91" w:rsidRPr="008D7C4F" w:rsidRDefault="00C32C91" w:rsidP="00C32C91">
            <w:pPr>
              <w:spacing w:after="0" w:line="252" w:lineRule="auto"/>
              <w:jc w:val="center"/>
            </w:pPr>
            <w:r w:rsidRPr="008D7C4F">
              <w:t>0.103</w:t>
            </w:r>
          </w:p>
        </w:tc>
        <w:tc>
          <w:tcPr>
            <w:tcW w:w="1275" w:type="dxa"/>
          </w:tcPr>
          <w:p w14:paraId="45913353" w14:textId="77777777" w:rsidR="00C32C91" w:rsidRPr="008D7C4F" w:rsidRDefault="00C32C91" w:rsidP="00C32C91">
            <w:pPr>
              <w:spacing w:after="0" w:line="252" w:lineRule="auto"/>
              <w:jc w:val="center"/>
            </w:pPr>
            <w:r w:rsidRPr="008D7C4F">
              <w:t>0.684</w:t>
            </w:r>
          </w:p>
        </w:tc>
        <w:tc>
          <w:tcPr>
            <w:tcW w:w="1275" w:type="dxa"/>
          </w:tcPr>
          <w:p w14:paraId="6E6AD26A" w14:textId="77777777" w:rsidR="00C32C91" w:rsidRPr="008D7C4F" w:rsidRDefault="00C32C91" w:rsidP="00C32C91">
            <w:pPr>
              <w:spacing w:after="0" w:line="252" w:lineRule="auto"/>
              <w:jc w:val="center"/>
            </w:pPr>
            <w:r w:rsidRPr="008D7C4F">
              <w:t>0.153</w:t>
            </w:r>
          </w:p>
        </w:tc>
        <w:tc>
          <w:tcPr>
            <w:tcW w:w="1275" w:type="dxa"/>
          </w:tcPr>
          <w:p w14:paraId="13170F7E" w14:textId="77777777" w:rsidR="00C32C91" w:rsidRPr="008D7C4F" w:rsidRDefault="00C32C91" w:rsidP="00C32C91">
            <w:pPr>
              <w:spacing w:after="0" w:line="252" w:lineRule="auto"/>
              <w:jc w:val="center"/>
            </w:pPr>
            <w:r w:rsidRPr="008D7C4F">
              <w:t>0.103</w:t>
            </w:r>
          </w:p>
        </w:tc>
      </w:tr>
      <w:tr w:rsidR="00C32C91" w:rsidRPr="008D7C4F" w14:paraId="33D9325A" w14:textId="77777777" w:rsidTr="00C32C91">
        <w:trPr>
          <w:jc w:val="center"/>
        </w:trPr>
        <w:tc>
          <w:tcPr>
            <w:tcW w:w="1274" w:type="dxa"/>
          </w:tcPr>
          <w:p w14:paraId="59909448" w14:textId="77777777" w:rsidR="00C32C91" w:rsidRPr="008D7C4F" w:rsidRDefault="00C32C91" w:rsidP="00C32C91">
            <w:pPr>
              <w:spacing w:after="0" w:line="252" w:lineRule="auto"/>
              <w:jc w:val="center"/>
            </w:pPr>
            <w:r w:rsidRPr="008D7C4F">
              <w:t xml:space="preserve">T_GT </w:t>
            </w:r>
            <w:r w:rsidRPr="008D7C4F">
              <w:rPr>
                <w:u w:color="FFFF00"/>
              </w:rPr>
              <w:t>[ms]</w:t>
            </w:r>
          </w:p>
        </w:tc>
        <w:tc>
          <w:tcPr>
            <w:tcW w:w="1275" w:type="dxa"/>
          </w:tcPr>
          <w:p w14:paraId="1A9585F8" w14:textId="77777777" w:rsidR="00C32C91" w:rsidRPr="008D7C4F" w:rsidRDefault="00C32C91" w:rsidP="00C32C91">
            <w:pPr>
              <w:spacing w:after="0" w:line="252" w:lineRule="auto"/>
              <w:jc w:val="center"/>
            </w:pPr>
            <w:r w:rsidRPr="008D7C4F">
              <w:t>0.097</w:t>
            </w:r>
          </w:p>
        </w:tc>
        <w:tc>
          <w:tcPr>
            <w:tcW w:w="1275" w:type="dxa"/>
          </w:tcPr>
          <w:p w14:paraId="75413F93" w14:textId="77777777" w:rsidR="00C32C91" w:rsidRPr="008D7C4F" w:rsidRDefault="00C32C91" w:rsidP="00C32C91">
            <w:pPr>
              <w:spacing w:after="0" w:line="252" w:lineRule="auto"/>
              <w:jc w:val="center"/>
            </w:pPr>
            <w:r w:rsidRPr="008D7C4F">
              <w:t>0.713</w:t>
            </w:r>
          </w:p>
        </w:tc>
        <w:tc>
          <w:tcPr>
            <w:tcW w:w="1275" w:type="dxa"/>
          </w:tcPr>
          <w:p w14:paraId="6330EB5A" w14:textId="77777777" w:rsidR="00C32C91" w:rsidRPr="008D7C4F" w:rsidRDefault="00C32C91" w:rsidP="00C32C91">
            <w:pPr>
              <w:spacing w:after="0" w:line="252" w:lineRule="auto"/>
              <w:jc w:val="center"/>
            </w:pPr>
            <w:r w:rsidRPr="008D7C4F">
              <w:t>0.147</w:t>
            </w:r>
          </w:p>
        </w:tc>
        <w:tc>
          <w:tcPr>
            <w:tcW w:w="1275" w:type="dxa"/>
          </w:tcPr>
          <w:p w14:paraId="66C1CCC3" w14:textId="77777777" w:rsidR="00C32C91" w:rsidRPr="008D7C4F" w:rsidRDefault="00C32C91" w:rsidP="00C32C91">
            <w:pPr>
              <w:spacing w:after="0" w:line="252" w:lineRule="auto"/>
              <w:jc w:val="center"/>
            </w:pPr>
            <w:r w:rsidRPr="008D7C4F">
              <w:t>0.097</w:t>
            </w:r>
          </w:p>
        </w:tc>
      </w:tr>
    </w:tbl>
    <w:p w14:paraId="2E6D748C" w14:textId="77777777" w:rsidR="00C32C91" w:rsidRPr="008D7C4F" w:rsidRDefault="00C32C91" w:rsidP="00C32C91">
      <w:pPr>
        <w:spacing w:line="252" w:lineRule="auto"/>
        <w:jc w:val="both"/>
      </w:pPr>
    </w:p>
    <w:p w14:paraId="381CEE22" w14:textId="77777777" w:rsidR="00C32C91" w:rsidRPr="008D7C4F" w:rsidRDefault="00C32C91" w:rsidP="00C32C91">
      <w:pPr>
        <w:spacing w:line="252" w:lineRule="auto"/>
        <w:jc w:val="center"/>
      </w:pPr>
      <w:r w:rsidRPr="008D7C4F">
        <w:rPr>
          <w:rFonts w:cs="Times New Roman"/>
          <w:lang w:eastAsia="zh-CN"/>
        </w:rPr>
        <w:t xml:space="preserve">Table 2.3-2 </w:t>
      </w:r>
      <w:r w:rsidRPr="008D7C4F">
        <w:t>PRACH CP durations with short PRACH sequences</w:t>
      </w:r>
    </w:p>
    <w:tbl>
      <w:tblPr>
        <w:tblStyle w:val="Grilledutableau"/>
        <w:tblW w:w="9351" w:type="dxa"/>
        <w:tblLayout w:type="fixed"/>
        <w:tblLook w:val="04A0" w:firstRow="1" w:lastRow="0" w:firstColumn="1" w:lastColumn="0" w:noHBand="0" w:noVBand="1"/>
      </w:tblPr>
      <w:tblGrid>
        <w:gridCol w:w="1129"/>
        <w:gridCol w:w="913"/>
        <w:gridCol w:w="914"/>
        <w:gridCol w:w="913"/>
        <w:gridCol w:w="914"/>
        <w:gridCol w:w="913"/>
        <w:gridCol w:w="914"/>
        <w:gridCol w:w="913"/>
        <w:gridCol w:w="914"/>
        <w:gridCol w:w="914"/>
      </w:tblGrid>
      <w:tr w:rsidR="00C32C91" w:rsidRPr="008D7C4F" w14:paraId="1F8AC282" w14:textId="77777777" w:rsidTr="00C32C91">
        <w:tc>
          <w:tcPr>
            <w:tcW w:w="1129" w:type="dxa"/>
          </w:tcPr>
          <w:p w14:paraId="48E86EEF" w14:textId="77777777" w:rsidR="00C32C91" w:rsidRPr="008D7C4F" w:rsidRDefault="00C32C91" w:rsidP="00C32C91">
            <w:pPr>
              <w:spacing w:after="0" w:line="252" w:lineRule="auto"/>
              <w:jc w:val="center"/>
            </w:pPr>
          </w:p>
        </w:tc>
        <w:tc>
          <w:tcPr>
            <w:tcW w:w="8222" w:type="dxa"/>
            <w:gridSpan w:val="9"/>
          </w:tcPr>
          <w:p w14:paraId="17F4A5D6" w14:textId="77777777" w:rsidR="00C32C91" w:rsidRPr="008D7C4F" w:rsidRDefault="00C32C91" w:rsidP="00C32C91">
            <w:pPr>
              <w:spacing w:after="0" w:line="252" w:lineRule="auto"/>
              <w:jc w:val="center"/>
            </w:pPr>
            <w:r w:rsidRPr="008D7C4F">
              <w:t>PRACH CP durations</w:t>
            </w:r>
          </w:p>
        </w:tc>
      </w:tr>
      <w:tr w:rsidR="00C32C91" w:rsidRPr="008D7C4F" w14:paraId="2F8AE97A" w14:textId="77777777" w:rsidTr="00C32C91">
        <w:tc>
          <w:tcPr>
            <w:tcW w:w="1129" w:type="dxa"/>
            <w:vAlign w:val="center"/>
          </w:tcPr>
          <w:p w14:paraId="2954BECF" w14:textId="77777777" w:rsidR="00C32C91" w:rsidRPr="008D7C4F" w:rsidRDefault="00C32C91" w:rsidP="00C32C91">
            <w:pPr>
              <w:spacing w:after="0" w:line="252" w:lineRule="auto"/>
              <w:jc w:val="center"/>
              <w:rPr>
                <w:color w:val="000000"/>
              </w:rPr>
            </w:pPr>
            <w:r w:rsidRPr="008D7C4F">
              <w:rPr>
                <w:color w:val="000000"/>
              </w:rPr>
              <w:t xml:space="preserve">T_CP </w:t>
            </w:r>
            <w:r w:rsidRPr="008D7C4F">
              <w:rPr>
                <w:color w:val="000000"/>
                <w:u w:color="FFFF00"/>
              </w:rPr>
              <w:t>[us]</w:t>
            </w:r>
          </w:p>
        </w:tc>
        <w:tc>
          <w:tcPr>
            <w:tcW w:w="913" w:type="dxa"/>
          </w:tcPr>
          <w:p w14:paraId="3328CCEA" w14:textId="77777777" w:rsidR="00C32C91" w:rsidRPr="008D7C4F" w:rsidRDefault="00C32C91" w:rsidP="00C32C91">
            <w:pPr>
              <w:spacing w:after="0" w:line="252" w:lineRule="auto"/>
              <w:jc w:val="center"/>
              <w:rPr>
                <w:color w:val="000000"/>
              </w:rPr>
            </w:pPr>
            <w:r w:rsidRPr="008D7C4F">
              <w:rPr>
                <w:color w:val="000000"/>
              </w:rPr>
              <w:t>9.375</w:t>
            </w:r>
          </w:p>
        </w:tc>
        <w:tc>
          <w:tcPr>
            <w:tcW w:w="914" w:type="dxa"/>
          </w:tcPr>
          <w:p w14:paraId="3F49EBF3" w14:textId="77777777" w:rsidR="00C32C91" w:rsidRPr="008D7C4F" w:rsidRDefault="00C32C91" w:rsidP="00C32C91">
            <w:pPr>
              <w:spacing w:after="0" w:line="252" w:lineRule="auto"/>
              <w:jc w:val="center"/>
            </w:pPr>
            <w:r w:rsidRPr="008D7C4F">
              <w:rPr>
                <w:color w:val="000000"/>
              </w:rPr>
              <w:t>18.75</w:t>
            </w:r>
          </w:p>
        </w:tc>
        <w:tc>
          <w:tcPr>
            <w:tcW w:w="913" w:type="dxa"/>
          </w:tcPr>
          <w:p w14:paraId="11ED92EF" w14:textId="77777777" w:rsidR="00C32C91" w:rsidRPr="008D7C4F" w:rsidRDefault="00C32C91" w:rsidP="00C32C91">
            <w:pPr>
              <w:spacing w:after="0" w:line="252" w:lineRule="auto"/>
              <w:jc w:val="center"/>
            </w:pPr>
            <w:r w:rsidRPr="008D7C4F">
              <w:rPr>
                <w:color w:val="000000"/>
              </w:rPr>
              <w:t>28.125</w:t>
            </w:r>
          </w:p>
        </w:tc>
        <w:tc>
          <w:tcPr>
            <w:tcW w:w="914" w:type="dxa"/>
          </w:tcPr>
          <w:p w14:paraId="622AA381" w14:textId="77777777" w:rsidR="00C32C91" w:rsidRPr="008D7C4F" w:rsidRDefault="00C32C91" w:rsidP="00C32C91">
            <w:pPr>
              <w:spacing w:after="0" w:line="252" w:lineRule="auto"/>
              <w:jc w:val="center"/>
            </w:pPr>
            <w:r w:rsidRPr="008D7C4F">
              <w:rPr>
                <w:color w:val="000000"/>
              </w:rPr>
              <w:t>7.031</w:t>
            </w:r>
          </w:p>
        </w:tc>
        <w:tc>
          <w:tcPr>
            <w:tcW w:w="913" w:type="dxa"/>
          </w:tcPr>
          <w:p w14:paraId="18CF6D0C" w14:textId="77777777" w:rsidR="00C32C91" w:rsidRPr="008D7C4F" w:rsidRDefault="00C32C91" w:rsidP="00C32C91">
            <w:pPr>
              <w:spacing w:after="0" w:line="252" w:lineRule="auto"/>
              <w:jc w:val="center"/>
            </w:pPr>
            <w:r w:rsidRPr="008D7C4F">
              <w:rPr>
                <w:color w:val="000000"/>
              </w:rPr>
              <w:t>11.719</w:t>
            </w:r>
          </w:p>
        </w:tc>
        <w:tc>
          <w:tcPr>
            <w:tcW w:w="914" w:type="dxa"/>
          </w:tcPr>
          <w:p w14:paraId="68972F63" w14:textId="77777777" w:rsidR="00C32C91" w:rsidRPr="008D7C4F" w:rsidRDefault="00C32C91" w:rsidP="00C32C91">
            <w:pPr>
              <w:spacing w:after="0" w:line="252" w:lineRule="auto"/>
              <w:jc w:val="center"/>
            </w:pPr>
            <w:r w:rsidRPr="008D7C4F">
              <w:rPr>
                <w:color w:val="000000"/>
              </w:rPr>
              <w:t>16.406</w:t>
            </w:r>
          </w:p>
        </w:tc>
        <w:tc>
          <w:tcPr>
            <w:tcW w:w="913" w:type="dxa"/>
          </w:tcPr>
          <w:p w14:paraId="0B01D47E" w14:textId="77777777" w:rsidR="00C32C91" w:rsidRPr="008D7C4F" w:rsidRDefault="00C32C91" w:rsidP="00C32C91">
            <w:pPr>
              <w:spacing w:after="0" w:line="252" w:lineRule="auto"/>
              <w:jc w:val="center"/>
            </w:pPr>
            <w:r w:rsidRPr="008D7C4F">
              <w:rPr>
                <w:color w:val="000000"/>
              </w:rPr>
              <w:t>30.469</w:t>
            </w:r>
          </w:p>
        </w:tc>
        <w:tc>
          <w:tcPr>
            <w:tcW w:w="914" w:type="dxa"/>
          </w:tcPr>
          <w:p w14:paraId="60418BFC" w14:textId="77777777" w:rsidR="00C32C91" w:rsidRPr="008D7C4F" w:rsidRDefault="00C32C91" w:rsidP="00C32C91">
            <w:pPr>
              <w:spacing w:after="0" w:line="252" w:lineRule="auto"/>
              <w:jc w:val="center"/>
            </w:pPr>
            <w:r w:rsidRPr="008D7C4F">
              <w:rPr>
                <w:color w:val="000000"/>
              </w:rPr>
              <w:t>40.36</w:t>
            </w:r>
          </w:p>
        </w:tc>
        <w:tc>
          <w:tcPr>
            <w:tcW w:w="914" w:type="dxa"/>
          </w:tcPr>
          <w:p w14:paraId="4DA434D0" w14:textId="77777777" w:rsidR="00C32C91" w:rsidRPr="008D7C4F" w:rsidRDefault="00C32C91" w:rsidP="00C32C91">
            <w:pPr>
              <w:spacing w:after="0" w:line="252" w:lineRule="auto"/>
              <w:jc w:val="center"/>
            </w:pPr>
            <w:r w:rsidRPr="008D7C4F">
              <w:rPr>
                <w:color w:val="000000"/>
              </w:rPr>
              <w:t>66.67</w:t>
            </w:r>
          </w:p>
        </w:tc>
      </w:tr>
      <w:tr w:rsidR="00C32C91" w:rsidRPr="008D7C4F" w14:paraId="7ED179E2" w14:textId="77777777" w:rsidTr="00C32C91">
        <w:tc>
          <w:tcPr>
            <w:tcW w:w="1129" w:type="dxa"/>
          </w:tcPr>
          <w:p w14:paraId="7F2BC5F5" w14:textId="77777777" w:rsidR="00C32C91" w:rsidRPr="008D7C4F" w:rsidRDefault="00C32C91" w:rsidP="00C32C91">
            <w:pPr>
              <w:spacing w:after="0" w:line="252" w:lineRule="auto"/>
              <w:jc w:val="center"/>
              <w:rPr>
                <w:color w:val="000000"/>
              </w:rPr>
            </w:pPr>
            <w:r w:rsidRPr="008D7C4F">
              <w:rPr>
                <w:color w:val="000000"/>
              </w:rPr>
              <w:t xml:space="preserve">T_GT </w:t>
            </w:r>
            <w:r w:rsidRPr="008D7C4F">
              <w:rPr>
                <w:color w:val="000000"/>
                <w:u w:color="FFFF00"/>
              </w:rPr>
              <w:t>[us]</w:t>
            </w:r>
          </w:p>
        </w:tc>
        <w:tc>
          <w:tcPr>
            <w:tcW w:w="913" w:type="dxa"/>
          </w:tcPr>
          <w:p w14:paraId="4D5643A3" w14:textId="77777777" w:rsidR="00C32C91" w:rsidRPr="008D7C4F" w:rsidRDefault="00C32C91" w:rsidP="00C32C91">
            <w:pPr>
              <w:spacing w:after="0" w:line="252" w:lineRule="auto"/>
              <w:jc w:val="center"/>
              <w:rPr>
                <w:color w:val="000000"/>
              </w:rPr>
            </w:pPr>
            <w:r w:rsidRPr="008D7C4F">
              <w:rPr>
                <w:color w:val="000000"/>
              </w:rPr>
              <w:t>0</w:t>
            </w:r>
          </w:p>
        </w:tc>
        <w:tc>
          <w:tcPr>
            <w:tcW w:w="914" w:type="dxa"/>
          </w:tcPr>
          <w:p w14:paraId="016D92D2" w14:textId="77777777" w:rsidR="00C32C91" w:rsidRPr="008D7C4F" w:rsidRDefault="00C32C91" w:rsidP="00C32C91">
            <w:pPr>
              <w:spacing w:after="0" w:line="252" w:lineRule="auto"/>
              <w:jc w:val="center"/>
            </w:pPr>
            <w:r w:rsidRPr="008D7C4F">
              <w:rPr>
                <w:color w:val="000000"/>
              </w:rPr>
              <w:t>0</w:t>
            </w:r>
          </w:p>
        </w:tc>
        <w:tc>
          <w:tcPr>
            <w:tcW w:w="913" w:type="dxa"/>
          </w:tcPr>
          <w:p w14:paraId="63A62428" w14:textId="77777777" w:rsidR="00C32C91" w:rsidRPr="008D7C4F" w:rsidRDefault="00C32C91" w:rsidP="00C32C91">
            <w:pPr>
              <w:spacing w:after="0" w:line="252" w:lineRule="auto"/>
              <w:jc w:val="center"/>
            </w:pPr>
            <w:r w:rsidRPr="008D7C4F">
              <w:rPr>
                <w:color w:val="000000"/>
              </w:rPr>
              <w:t>0</w:t>
            </w:r>
          </w:p>
        </w:tc>
        <w:tc>
          <w:tcPr>
            <w:tcW w:w="914" w:type="dxa"/>
          </w:tcPr>
          <w:p w14:paraId="77C5F044" w14:textId="77777777" w:rsidR="00C32C91" w:rsidRPr="008D7C4F" w:rsidRDefault="00C32C91" w:rsidP="00C32C91">
            <w:pPr>
              <w:spacing w:after="0" w:line="252" w:lineRule="auto"/>
              <w:jc w:val="center"/>
            </w:pPr>
            <w:r w:rsidRPr="008D7C4F">
              <w:rPr>
                <w:color w:val="000000"/>
              </w:rPr>
              <w:t>2.344</w:t>
            </w:r>
          </w:p>
        </w:tc>
        <w:tc>
          <w:tcPr>
            <w:tcW w:w="913" w:type="dxa"/>
          </w:tcPr>
          <w:p w14:paraId="7F9F4EEB" w14:textId="77777777" w:rsidR="00C32C91" w:rsidRPr="008D7C4F" w:rsidRDefault="00C32C91" w:rsidP="00C32C91">
            <w:pPr>
              <w:spacing w:after="0" w:line="252" w:lineRule="auto"/>
              <w:jc w:val="center"/>
            </w:pPr>
            <w:r w:rsidRPr="008D7C4F">
              <w:rPr>
                <w:color w:val="000000"/>
              </w:rPr>
              <w:t>7.031</w:t>
            </w:r>
          </w:p>
        </w:tc>
        <w:tc>
          <w:tcPr>
            <w:tcW w:w="914" w:type="dxa"/>
          </w:tcPr>
          <w:p w14:paraId="1DA39512" w14:textId="77777777" w:rsidR="00C32C91" w:rsidRPr="008D7C4F" w:rsidRDefault="00C32C91" w:rsidP="00C32C91">
            <w:pPr>
              <w:spacing w:after="0" w:line="252" w:lineRule="auto"/>
              <w:jc w:val="center"/>
            </w:pPr>
            <w:r w:rsidRPr="008D7C4F">
              <w:rPr>
                <w:color w:val="000000"/>
              </w:rPr>
              <w:t>11.719</w:t>
            </w:r>
          </w:p>
        </w:tc>
        <w:tc>
          <w:tcPr>
            <w:tcW w:w="913" w:type="dxa"/>
          </w:tcPr>
          <w:p w14:paraId="279A8538" w14:textId="77777777" w:rsidR="00C32C91" w:rsidRPr="008D7C4F" w:rsidRDefault="00C32C91" w:rsidP="00C32C91">
            <w:pPr>
              <w:spacing w:after="0" w:line="252" w:lineRule="auto"/>
              <w:jc w:val="center"/>
            </w:pPr>
            <w:r w:rsidRPr="008D7C4F">
              <w:rPr>
                <w:color w:val="000000"/>
              </w:rPr>
              <w:t>25.781</w:t>
            </w:r>
          </w:p>
        </w:tc>
        <w:tc>
          <w:tcPr>
            <w:tcW w:w="914" w:type="dxa"/>
          </w:tcPr>
          <w:p w14:paraId="6DF5793A" w14:textId="77777777" w:rsidR="00C32C91" w:rsidRPr="008D7C4F" w:rsidRDefault="00C32C91" w:rsidP="00C32C91">
            <w:pPr>
              <w:spacing w:after="0" w:line="252" w:lineRule="auto"/>
              <w:jc w:val="center"/>
            </w:pPr>
            <w:r w:rsidRPr="008D7C4F">
              <w:rPr>
                <w:color w:val="000000"/>
              </w:rPr>
              <w:t>35.677</w:t>
            </w:r>
          </w:p>
        </w:tc>
        <w:tc>
          <w:tcPr>
            <w:tcW w:w="914" w:type="dxa"/>
          </w:tcPr>
          <w:p w14:paraId="7D3895A3" w14:textId="77777777" w:rsidR="00C32C91" w:rsidRPr="008D7C4F" w:rsidRDefault="00C32C91" w:rsidP="00C32C91">
            <w:pPr>
              <w:spacing w:after="0" w:line="252" w:lineRule="auto"/>
              <w:jc w:val="center"/>
            </w:pPr>
            <w:r w:rsidRPr="008D7C4F">
              <w:rPr>
                <w:color w:val="000000"/>
              </w:rPr>
              <w:t>94.922</w:t>
            </w:r>
          </w:p>
        </w:tc>
      </w:tr>
    </w:tbl>
    <w:p w14:paraId="453DD40E" w14:textId="77777777" w:rsidR="00C32C91" w:rsidRPr="008D7C4F" w:rsidRDefault="00C32C91" w:rsidP="00C32C91">
      <w:pPr>
        <w:jc w:val="both"/>
      </w:pPr>
    </w:p>
    <w:p w14:paraId="6FFCE7C9" w14:textId="77777777" w:rsidR="00C32C91" w:rsidRPr="008D7C4F" w:rsidRDefault="00C32C91" w:rsidP="00C32C91">
      <w:pPr>
        <w:jc w:val="both"/>
        <w:rPr>
          <w:rFonts w:eastAsia="MS Mincho"/>
        </w:rPr>
      </w:pPr>
      <w:r w:rsidRPr="008D7C4F">
        <w:t xml:space="preserve">Considering that the cell size of HAPS is not extremely large, the current NR preamble format design should be enough to support HAPS. The current NR preamble format design should be enough to support HAPS but for Satellite it needs to be revisited. </w:t>
      </w:r>
      <w:r w:rsidRPr="008D7C4F">
        <w:rPr>
          <w:iCs/>
          <w:color w:val="000000" w:themeColor="text1"/>
        </w:rPr>
        <w:t xml:space="preserve"> As shown in Figure 2.3-1, </w:t>
      </w:r>
      <w:r w:rsidRPr="008D7C4F">
        <w:rPr>
          <w:rFonts w:cs="Times New Roman"/>
          <w:lang w:eastAsia="zh-CN"/>
        </w:rPr>
        <w:t>t</w:t>
      </w:r>
      <w:r w:rsidRPr="008D7C4F">
        <w:rPr>
          <w:rFonts w:eastAsia="MS Mincho"/>
        </w:rPr>
        <w:t xml:space="preserve">he difference </w:t>
      </w:r>
      <w:r w:rsidRPr="008D7C4F">
        <w:t xml:space="preserve">d3 = d2 – d1 </w:t>
      </w:r>
      <w:r w:rsidRPr="008D7C4F">
        <w:rPr>
          <w:rFonts w:eastAsia="MS Mincho"/>
        </w:rPr>
        <w:t xml:space="preserve">depends on the elevation angle, as listed in </w:t>
      </w:r>
      <w:r w:rsidRPr="008D7C4F">
        <w:rPr>
          <w:rFonts w:cs="Times New Roman"/>
          <w:lang w:eastAsia="zh-CN"/>
        </w:rPr>
        <w:t>Table 2.3-3</w:t>
      </w:r>
      <w:r w:rsidRPr="008D7C4F">
        <w:rPr>
          <w:rFonts w:eastAsia="MS Mincho"/>
        </w:rPr>
        <w:t xml:space="preserve">. </w:t>
      </w:r>
    </w:p>
    <w:p w14:paraId="54550DE4" w14:textId="77777777" w:rsidR="00C32C91" w:rsidRPr="008D7C4F" w:rsidRDefault="00C32C91" w:rsidP="00C32C91">
      <w:pPr>
        <w:jc w:val="center"/>
        <w:rPr>
          <w:sz w:val="24"/>
          <w:szCs w:val="24"/>
        </w:rPr>
      </w:pPr>
      <w:r w:rsidRPr="00CB77CC">
        <w:rPr>
          <w:noProof/>
          <w:lang w:val="en-GB" w:eastAsia="en-GB"/>
        </w:rPr>
        <w:drawing>
          <wp:inline distT="0" distB="0" distL="0" distR="0" wp14:anchorId="42B68EB4" wp14:editId="708D749E">
            <wp:extent cx="2615979" cy="3028466"/>
            <wp:effectExtent l="0" t="0" r="0"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22393" cy="3035891"/>
                    </a:xfrm>
                    <a:prstGeom prst="rect">
                      <a:avLst/>
                    </a:prstGeom>
                    <a:noFill/>
                    <a:ln>
                      <a:noFill/>
                    </a:ln>
                  </pic:spPr>
                </pic:pic>
              </a:graphicData>
            </a:graphic>
          </wp:inline>
        </w:drawing>
      </w:r>
      <w:r w:rsidRPr="008D7C4F">
        <w:rPr>
          <w:sz w:val="24"/>
          <w:szCs w:val="24"/>
        </w:rPr>
        <w:t xml:space="preserve"> </w:t>
      </w:r>
    </w:p>
    <w:p w14:paraId="5E02D80A" w14:textId="77777777" w:rsidR="00C32C91" w:rsidRPr="008D7C4F" w:rsidRDefault="00C32C91" w:rsidP="00C32C91">
      <w:pPr>
        <w:jc w:val="center"/>
      </w:pPr>
      <w:r w:rsidRPr="008D7C4F">
        <w:rPr>
          <w:rFonts w:cs="Times New Roman"/>
          <w:lang w:eastAsia="zh-CN"/>
        </w:rPr>
        <w:t xml:space="preserve">Figure </w:t>
      </w:r>
      <w:r w:rsidRPr="008D7C4F">
        <w:t>2.3-1: NTN systems, new geometry</w:t>
      </w:r>
    </w:p>
    <w:p w14:paraId="2E26ED46" w14:textId="77777777" w:rsidR="00C32C91" w:rsidRPr="008D7C4F" w:rsidRDefault="00C32C91" w:rsidP="00C32C91">
      <w:pPr>
        <w:jc w:val="both"/>
        <w:rPr>
          <w:rFonts w:eastAsia="MS Mincho"/>
        </w:rPr>
      </w:pPr>
    </w:p>
    <w:p w14:paraId="266950A7" w14:textId="77777777" w:rsidR="00C32C91" w:rsidRPr="008D7C4F" w:rsidRDefault="00C32C91" w:rsidP="00C32C91">
      <w:pPr>
        <w:jc w:val="center"/>
        <w:rPr>
          <w:rFonts w:cs="Times New Roman"/>
          <w:lang w:eastAsia="zh-CN"/>
        </w:rPr>
      </w:pPr>
      <w:r w:rsidRPr="008D7C4F">
        <w:rPr>
          <w:rFonts w:cs="Times New Roman"/>
          <w:lang w:eastAsia="zh-CN"/>
        </w:rPr>
        <w:lastRenderedPageBreak/>
        <w:t>Table 2.3-3</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C32C91" w:rsidRPr="008D7C4F" w14:paraId="1E91B451" w14:textId="77777777" w:rsidTr="00C32C91">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147CF51" w14:textId="77777777" w:rsidR="00C32C91" w:rsidRPr="008D7C4F" w:rsidRDefault="00C32C91" w:rsidP="00C32C91">
            <w:pPr>
              <w:spacing w:after="0"/>
              <w:jc w:val="center"/>
              <w:rPr>
                <w:rFonts w:eastAsia="MS Mincho"/>
              </w:rPr>
            </w:pPr>
            <w:r w:rsidRPr="008D7C4F">
              <w:rPr>
                <w:rFonts w:eastAsia="MS Mincho"/>
                <w:b/>
                <w:bCs/>
              </w:rPr>
              <w:t xml:space="preserve">alpha </w:t>
            </w:r>
            <w:r w:rsidRPr="008D7C4F">
              <w:rPr>
                <w:rFonts w:eastAsia="MS Mincho"/>
                <w:b/>
                <w:bCs/>
                <w:u w:color="FFFF00"/>
              </w:rPr>
              <w:t>[degree]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AE91631" w14:textId="77777777" w:rsidR="00C32C91" w:rsidRPr="008D7C4F" w:rsidRDefault="00C32C91" w:rsidP="00C32C91">
            <w:pPr>
              <w:spacing w:after="0"/>
              <w:jc w:val="center"/>
              <w:rPr>
                <w:rFonts w:eastAsia="MS Mincho"/>
              </w:rPr>
            </w:pPr>
            <w:r w:rsidRPr="008D7C4F">
              <w:rPr>
                <w:rFonts w:eastAsia="MS Mincho"/>
                <w:b/>
                <w:bCs/>
              </w:rPr>
              <w:t xml:space="preserve">Cell radius (Smax/2) </w:t>
            </w:r>
            <w:r w:rsidRPr="008D7C4F">
              <w:rPr>
                <w:rFonts w:eastAsia="MS Mincho"/>
                <w:b/>
                <w:bCs/>
                <w:u w:color="FFFF00"/>
              </w:rPr>
              <w:t>[km]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B051F61" w14:textId="77777777" w:rsidR="00C32C91" w:rsidRPr="008D7C4F" w:rsidRDefault="00C32C91" w:rsidP="00C32C91">
            <w:pPr>
              <w:spacing w:after="0"/>
              <w:jc w:val="center"/>
              <w:rPr>
                <w:rFonts w:eastAsia="MS Mincho"/>
              </w:rPr>
            </w:pPr>
            <w:r w:rsidRPr="008D7C4F">
              <w:rPr>
                <w:rFonts w:eastAsia="MS Mincho"/>
                <w:b/>
                <w:bCs/>
              </w:rPr>
              <w:t>d</w:t>
            </w:r>
            <w:r w:rsidRPr="008D7C4F">
              <w:rPr>
                <w:rFonts w:eastAsia="MS Mincho"/>
                <w:b/>
                <w:bCs/>
                <w:vertAlign w:val="subscript"/>
              </w:rPr>
              <w:t>2</w:t>
            </w:r>
            <w:r w:rsidRPr="008D7C4F">
              <w:rPr>
                <w:rFonts w:eastAsia="MS Mincho"/>
                <w:b/>
                <w:bCs/>
              </w:rPr>
              <w:t>-d</w:t>
            </w:r>
            <w:r w:rsidRPr="008D7C4F">
              <w:rPr>
                <w:rFonts w:eastAsia="MS Mincho"/>
                <w:b/>
                <w:bCs/>
                <w:vertAlign w:val="subscript"/>
              </w:rPr>
              <w:t>1</w:t>
            </w:r>
            <w:r w:rsidRPr="008D7C4F">
              <w:rPr>
                <w:rFonts w:eastAsia="MS Mincho"/>
                <w:b/>
                <w:bCs/>
              </w:rPr>
              <w:t xml:space="preserve"> </w:t>
            </w:r>
            <w:r w:rsidRPr="008D7C4F">
              <w:rPr>
                <w:rFonts w:eastAsia="MS Mincho"/>
                <w:b/>
                <w:bCs/>
                <w:u w:color="FFFF00"/>
              </w:rPr>
              <w:t>[km]</w:t>
            </w:r>
          </w:p>
        </w:tc>
      </w:tr>
      <w:tr w:rsidR="00C32C91" w:rsidRPr="008D7C4F" w14:paraId="46EEC923" w14:textId="77777777" w:rsidTr="00C32C91">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6BF465D" w14:textId="77777777" w:rsidR="00C32C91" w:rsidRPr="008D7C4F" w:rsidRDefault="00C32C91" w:rsidP="00C32C91">
            <w:pPr>
              <w:spacing w:after="0"/>
              <w:jc w:val="center"/>
              <w:rPr>
                <w:rFonts w:eastAsia="MS Mincho"/>
              </w:rPr>
            </w:pPr>
            <w:r w:rsidRPr="008D7C4F">
              <w:rPr>
                <w:rFonts w:eastAsia="MS Mincho"/>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2FB4DCF" w14:textId="77777777" w:rsidR="00C32C91" w:rsidRPr="008D7C4F" w:rsidRDefault="00C32C91" w:rsidP="00C32C91">
            <w:pPr>
              <w:spacing w:after="0"/>
              <w:jc w:val="center"/>
              <w:rPr>
                <w:rFonts w:eastAsia="MS Mincho"/>
              </w:rPr>
            </w:pPr>
            <w:r w:rsidRPr="008D7C4F">
              <w:rPr>
                <w:rFonts w:eastAsia="MS Mincho"/>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DE4A083" w14:textId="77777777" w:rsidR="00C32C91" w:rsidRPr="008D7C4F" w:rsidRDefault="00C32C91" w:rsidP="00C32C91">
            <w:pPr>
              <w:spacing w:after="0"/>
              <w:jc w:val="center"/>
              <w:rPr>
                <w:rFonts w:eastAsia="MS Mincho"/>
              </w:rPr>
            </w:pPr>
            <w:r w:rsidRPr="008D7C4F">
              <w:rPr>
                <w:rFonts w:eastAsia="MS Mincho"/>
              </w:rPr>
              <w:t>390</w:t>
            </w:r>
          </w:p>
        </w:tc>
      </w:tr>
      <w:tr w:rsidR="00C32C91" w:rsidRPr="008D7C4F" w14:paraId="3E2FD2D7" w14:textId="77777777" w:rsidTr="00C32C91">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1A724BF" w14:textId="77777777" w:rsidR="00C32C91" w:rsidRPr="008D7C4F" w:rsidRDefault="00C32C91" w:rsidP="00C32C91">
            <w:pPr>
              <w:spacing w:after="0"/>
              <w:jc w:val="center"/>
              <w:rPr>
                <w:rFonts w:eastAsia="MS Mincho"/>
              </w:rPr>
            </w:pPr>
            <w:r w:rsidRPr="008D7C4F">
              <w:rPr>
                <w:rFonts w:eastAsia="MS Mincho"/>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43995D8" w14:textId="77777777" w:rsidR="00C32C91" w:rsidRPr="008D7C4F" w:rsidRDefault="00C32C91" w:rsidP="00C32C91">
            <w:pPr>
              <w:spacing w:after="0"/>
              <w:jc w:val="center"/>
              <w:rPr>
                <w:rFonts w:eastAsia="MS Mincho"/>
              </w:rPr>
            </w:pPr>
            <w:r w:rsidRPr="008D7C4F">
              <w:rPr>
                <w:rFonts w:eastAsia="MS Mincho"/>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0364CE0" w14:textId="77777777" w:rsidR="00C32C91" w:rsidRPr="008D7C4F" w:rsidRDefault="00C32C91" w:rsidP="00C32C91">
            <w:pPr>
              <w:spacing w:after="0"/>
              <w:jc w:val="center"/>
              <w:rPr>
                <w:rFonts w:eastAsia="MS Mincho"/>
              </w:rPr>
            </w:pPr>
            <w:r w:rsidRPr="008D7C4F">
              <w:rPr>
                <w:rFonts w:eastAsia="MS Mincho"/>
              </w:rPr>
              <w:t>372</w:t>
            </w:r>
          </w:p>
        </w:tc>
      </w:tr>
      <w:tr w:rsidR="00C32C91" w:rsidRPr="008D7C4F" w14:paraId="7E74AFC0" w14:textId="77777777" w:rsidTr="00C32C91">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BB8550D" w14:textId="77777777" w:rsidR="00C32C91" w:rsidRPr="008D7C4F" w:rsidRDefault="00C32C91" w:rsidP="00C32C91">
            <w:pPr>
              <w:spacing w:after="0"/>
              <w:jc w:val="center"/>
              <w:rPr>
                <w:rFonts w:eastAsia="MS Mincho"/>
              </w:rPr>
            </w:pPr>
            <w:r w:rsidRPr="008D7C4F">
              <w:rPr>
                <w:rFonts w:eastAsia="MS Mincho"/>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A3BEDE" w14:textId="77777777" w:rsidR="00C32C91" w:rsidRPr="008D7C4F" w:rsidRDefault="00C32C91" w:rsidP="00C32C91">
            <w:pPr>
              <w:spacing w:after="0"/>
              <w:jc w:val="center"/>
              <w:rPr>
                <w:rFonts w:eastAsia="MS Mincho"/>
              </w:rPr>
            </w:pPr>
            <w:r w:rsidRPr="008D7C4F">
              <w:rPr>
                <w:rFonts w:eastAsia="MS Mincho"/>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9DE411D" w14:textId="77777777" w:rsidR="00C32C91" w:rsidRPr="008D7C4F" w:rsidRDefault="00C32C91" w:rsidP="00C32C91">
            <w:pPr>
              <w:spacing w:after="0"/>
              <w:jc w:val="center"/>
              <w:rPr>
                <w:rFonts w:eastAsia="MS Mincho"/>
              </w:rPr>
            </w:pPr>
            <w:r w:rsidRPr="008D7C4F">
              <w:rPr>
                <w:rFonts w:eastAsia="MS Mincho"/>
              </w:rPr>
              <w:t>343</w:t>
            </w:r>
          </w:p>
        </w:tc>
      </w:tr>
      <w:tr w:rsidR="00C32C91" w:rsidRPr="008D7C4F" w14:paraId="0BFE365C" w14:textId="77777777" w:rsidTr="00C32C91">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D875E1F" w14:textId="77777777" w:rsidR="00C32C91" w:rsidRPr="008D7C4F" w:rsidRDefault="00C32C91" w:rsidP="00C32C91">
            <w:pPr>
              <w:spacing w:after="0"/>
              <w:jc w:val="center"/>
              <w:rPr>
                <w:rFonts w:eastAsia="MS Mincho"/>
              </w:rPr>
            </w:pPr>
            <w:r w:rsidRPr="008D7C4F">
              <w:rPr>
                <w:rFonts w:eastAsia="MS Mincho"/>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D32B164" w14:textId="77777777" w:rsidR="00C32C91" w:rsidRPr="008D7C4F" w:rsidRDefault="00C32C91" w:rsidP="00C32C91">
            <w:pPr>
              <w:spacing w:after="0"/>
              <w:jc w:val="center"/>
              <w:rPr>
                <w:rFonts w:eastAsia="MS Mincho"/>
              </w:rPr>
            </w:pPr>
            <w:r w:rsidRPr="008D7C4F">
              <w:rPr>
                <w:rFonts w:eastAsia="MS Mincho"/>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CCC12E9" w14:textId="77777777" w:rsidR="00C32C91" w:rsidRPr="008D7C4F" w:rsidRDefault="00C32C91" w:rsidP="00C32C91">
            <w:pPr>
              <w:spacing w:after="0"/>
              <w:jc w:val="center"/>
              <w:rPr>
                <w:rFonts w:eastAsia="MS Mincho"/>
              </w:rPr>
            </w:pPr>
            <w:r w:rsidRPr="008D7C4F">
              <w:rPr>
                <w:rFonts w:eastAsia="MS Mincho"/>
              </w:rPr>
              <w:t>303</w:t>
            </w:r>
          </w:p>
        </w:tc>
      </w:tr>
      <w:tr w:rsidR="00C32C91" w:rsidRPr="008D7C4F" w14:paraId="13B7611E" w14:textId="77777777" w:rsidTr="00C32C91">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278265D" w14:textId="77777777" w:rsidR="00C32C91" w:rsidRPr="008D7C4F" w:rsidRDefault="00C32C91" w:rsidP="00C32C91">
            <w:pPr>
              <w:spacing w:after="0"/>
              <w:jc w:val="center"/>
              <w:rPr>
                <w:rFonts w:eastAsia="MS Mincho"/>
              </w:rPr>
            </w:pPr>
            <w:r w:rsidRPr="008D7C4F">
              <w:rPr>
                <w:rFonts w:eastAsia="MS Mincho"/>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6648771" w14:textId="77777777" w:rsidR="00C32C91" w:rsidRPr="008D7C4F" w:rsidRDefault="00C32C91" w:rsidP="00C32C91">
            <w:pPr>
              <w:spacing w:after="0"/>
              <w:jc w:val="center"/>
              <w:rPr>
                <w:rFonts w:eastAsia="MS Mincho"/>
              </w:rPr>
            </w:pPr>
            <w:r w:rsidRPr="008D7C4F">
              <w:rPr>
                <w:rFonts w:eastAsia="MS Mincho"/>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9ACC2BC" w14:textId="77777777" w:rsidR="00C32C91" w:rsidRPr="008D7C4F" w:rsidRDefault="00C32C91" w:rsidP="00C32C91">
            <w:pPr>
              <w:spacing w:after="0"/>
              <w:jc w:val="center"/>
              <w:rPr>
                <w:rFonts w:eastAsia="MS Mincho"/>
              </w:rPr>
            </w:pPr>
            <w:r w:rsidRPr="008D7C4F">
              <w:rPr>
                <w:rFonts w:eastAsia="MS Mincho"/>
              </w:rPr>
              <w:t>254</w:t>
            </w:r>
          </w:p>
        </w:tc>
      </w:tr>
      <w:tr w:rsidR="00C32C91" w:rsidRPr="008D7C4F" w14:paraId="33789561" w14:textId="77777777" w:rsidTr="00C32C91">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D1585ED" w14:textId="77777777" w:rsidR="00C32C91" w:rsidRPr="008D7C4F" w:rsidRDefault="00C32C91" w:rsidP="00C32C91">
            <w:pPr>
              <w:spacing w:after="0"/>
              <w:jc w:val="center"/>
              <w:rPr>
                <w:rFonts w:eastAsia="MS Mincho"/>
              </w:rPr>
            </w:pPr>
            <w:r w:rsidRPr="008D7C4F">
              <w:rPr>
                <w:rFonts w:eastAsia="MS Mincho"/>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DBFC09F" w14:textId="77777777" w:rsidR="00C32C91" w:rsidRPr="008D7C4F" w:rsidRDefault="00C32C91" w:rsidP="00C32C91">
            <w:pPr>
              <w:spacing w:after="0"/>
              <w:jc w:val="center"/>
              <w:rPr>
                <w:rFonts w:eastAsia="MS Mincho"/>
              </w:rPr>
            </w:pPr>
            <w:r w:rsidRPr="008D7C4F">
              <w:rPr>
                <w:rFonts w:eastAsia="MS Mincho"/>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04D606B" w14:textId="77777777" w:rsidR="00C32C91" w:rsidRPr="008D7C4F" w:rsidRDefault="00C32C91" w:rsidP="00C32C91">
            <w:pPr>
              <w:spacing w:after="0"/>
              <w:jc w:val="center"/>
              <w:rPr>
                <w:rFonts w:eastAsia="MS Mincho"/>
              </w:rPr>
            </w:pPr>
            <w:r w:rsidRPr="008D7C4F">
              <w:rPr>
                <w:rFonts w:eastAsia="MS Mincho"/>
              </w:rPr>
              <w:t>197</w:t>
            </w:r>
          </w:p>
        </w:tc>
      </w:tr>
      <w:tr w:rsidR="00C32C91" w:rsidRPr="008D7C4F" w14:paraId="08B4F00D" w14:textId="77777777" w:rsidTr="00C32C91">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4078009" w14:textId="77777777" w:rsidR="00C32C91" w:rsidRPr="008D7C4F" w:rsidRDefault="00C32C91" w:rsidP="00C32C91">
            <w:pPr>
              <w:spacing w:after="0"/>
              <w:jc w:val="center"/>
              <w:rPr>
                <w:rFonts w:eastAsia="MS Mincho"/>
              </w:rPr>
            </w:pPr>
            <w:r w:rsidRPr="008D7C4F">
              <w:rPr>
                <w:rFonts w:eastAsia="MS Mincho"/>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EC79A4F" w14:textId="77777777" w:rsidR="00C32C91" w:rsidRPr="008D7C4F" w:rsidRDefault="00C32C91" w:rsidP="00C32C91">
            <w:pPr>
              <w:spacing w:after="0"/>
              <w:jc w:val="center"/>
              <w:rPr>
                <w:rFonts w:eastAsia="MS Mincho"/>
              </w:rPr>
            </w:pPr>
            <w:r w:rsidRPr="008D7C4F">
              <w:rPr>
                <w:rFonts w:eastAsia="MS Mincho"/>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A7795A6" w14:textId="77777777" w:rsidR="00C32C91" w:rsidRPr="008D7C4F" w:rsidRDefault="00C32C91" w:rsidP="00C32C91">
            <w:pPr>
              <w:spacing w:after="0"/>
              <w:jc w:val="center"/>
              <w:rPr>
                <w:rFonts w:eastAsia="MS Mincho"/>
              </w:rPr>
            </w:pPr>
            <w:r w:rsidRPr="008D7C4F">
              <w:rPr>
                <w:rFonts w:eastAsia="MS Mincho"/>
              </w:rPr>
              <w:t>134</w:t>
            </w:r>
          </w:p>
        </w:tc>
      </w:tr>
      <w:tr w:rsidR="00C32C91" w:rsidRPr="008D7C4F" w14:paraId="2891D2DB" w14:textId="77777777" w:rsidTr="00C32C91">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069E809" w14:textId="77777777" w:rsidR="00C32C91" w:rsidRPr="008D7C4F" w:rsidRDefault="00C32C91" w:rsidP="00C32C91">
            <w:pPr>
              <w:spacing w:after="0"/>
              <w:jc w:val="center"/>
              <w:rPr>
                <w:rFonts w:eastAsia="MS Mincho"/>
              </w:rPr>
            </w:pPr>
            <w:r w:rsidRPr="008D7C4F">
              <w:rPr>
                <w:rFonts w:eastAsia="MS Mincho"/>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9F7556C" w14:textId="77777777" w:rsidR="00C32C91" w:rsidRPr="008D7C4F" w:rsidRDefault="00C32C91" w:rsidP="00C32C91">
            <w:pPr>
              <w:spacing w:after="0"/>
              <w:jc w:val="center"/>
              <w:rPr>
                <w:rFonts w:eastAsia="MS Mincho"/>
              </w:rPr>
            </w:pPr>
            <w:r w:rsidRPr="008D7C4F">
              <w:rPr>
                <w:rFonts w:eastAsia="MS Mincho"/>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094D3E5" w14:textId="77777777" w:rsidR="00C32C91" w:rsidRPr="008D7C4F" w:rsidRDefault="00C32C91" w:rsidP="00C32C91">
            <w:pPr>
              <w:spacing w:after="0"/>
              <w:jc w:val="center"/>
              <w:rPr>
                <w:rFonts w:eastAsia="MS Mincho"/>
              </w:rPr>
            </w:pPr>
            <w:r w:rsidRPr="008D7C4F">
              <w:rPr>
                <w:rFonts w:eastAsia="MS Mincho"/>
              </w:rPr>
              <w:t>67</w:t>
            </w:r>
          </w:p>
        </w:tc>
      </w:tr>
    </w:tbl>
    <w:p w14:paraId="7D52ED27" w14:textId="77777777" w:rsidR="00C32C91" w:rsidRPr="008D7C4F" w:rsidRDefault="00C32C91" w:rsidP="00C32C91">
      <w:pPr>
        <w:rPr>
          <w:rFonts w:eastAsia="MS Mincho"/>
        </w:rPr>
      </w:pPr>
    </w:p>
    <w:p w14:paraId="7160E9F3" w14:textId="77777777" w:rsidR="00C32C91" w:rsidRPr="008D7C4F" w:rsidRDefault="00C32C91" w:rsidP="00C32C91">
      <w:pPr>
        <w:spacing w:after="0" w:line="240" w:lineRule="auto"/>
        <w:jc w:val="both"/>
      </w:pPr>
      <w:r w:rsidRPr="008D7C4F">
        <w:t xml:space="preserve">Clearly, the difference d3 exceeds the maximum cell coverage supported by the NR preamble format of 2x 100 km for satellite elevation angles below 60 degrees. In such a case, NR preamble format needs to be extended for NTN system considering different footprint of NTN cells. So it should be further studied if new random access preamble format is needed for spaceborne vehicles. </w:t>
      </w:r>
    </w:p>
    <w:p w14:paraId="2DFC07FD" w14:textId="77777777" w:rsidR="00C32C91" w:rsidRPr="008D7C4F" w:rsidRDefault="00C32C91" w:rsidP="00C32C91">
      <w:pPr>
        <w:spacing w:after="0" w:line="240" w:lineRule="auto"/>
        <w:jc w:val="both"/>
      </w:pPr>
    </w:p>
    <w:p w14:paraId="38CB405D" w14:textId="77777777" w:rsidR="00C32C91" w:rsidRPr="008D7C4F" w:rsidRDefault="00C32C91" w:rsidP="00C32C91">
      <w:pPr>
        <w:spacing w:after="0" w:line="240" w:lineRule="auto"/>
        <w:jc w:val="both"/>
        <w:rPr>
          <w:rFonts w:ascii="Times New Roman" w:hAnsi="Times New Roman" w:cs="Times New Roman"/>
          <w:lang w:eastAsia="zh-CN"/>
        </w:rPr>
      </w:pPr>
      <w:r w:rsidRPr="008D7C4F">
        <w:t>With accurate geolocation and time, for example by using GNSS receiver to determine its position and the universal time, a UE is able to estimate the propagation delay and hence adjust the transmit time of PRACH accordingly. As a result, NR PRACH design principles or even NR PRACH waveforms can be directly used. Otherwise, at least differential delay needs to be considered and NR PRACH design principles need to be revisited.</w:t>
      </w:r>
    </w:p>
    <w:p w14:paraId="68710640" w14:textId="77777777" w:rsidR="00C32C91" w:rsidRPr="008D7C4F" w:rsidRDefault="00C32C91" w:rsidP="00C32C91"/>
    <w:p w14:paraId="5309B69E" w14:textId="21934FF5" w:rsidR="00C32C91" w:rsidRPr="008D7C4F" w:rsidRDefault="00C32C91" w:rsidP="00C32C91">
      <w:pPr>
        <w:rPr>
          <w:b/>
        </w:rPr>
      </w:pPr>
      <w:r w:rsidRPr="008D7C4F">
        <w:rPr>
          <w:b/>
        </w:rPr>
        <w:t xml:space="preserve">RACH Procedure </w:t>
      </w:r>
      <w:r w:rsidRPr="00016502">
        <w:rPr>
          <w:b/>
          <w:u w:color="FFFF00"/>
        </w:rPr>
        <w:t>[</w:t>
      </w:r>
      <w:r w:rsidR="00D907A3" w:rsidRPr="00016502">
        <w:rPr>
          <w:u w:color="FFFF00"/>
        </w:rPr>
        <w:t>38-6</w:t>
      </w:r>
      <w:r w:rsidRPr="00016502">
        <w:rPr>
          <w:b/>
          <w:u w:color="FFFF00"/>
        </w:rPr>
        <w:t>]</w:t>
      </w:r>
    </w:p>
    <w:p w14:paraId="36AF9E6B" w14:textId="77777777" w:rsidR="00C32C91" w:rsidRPr="008D7C4F" w:rsidRDefault="00C32C91" w:rsidP="00C32C91">
      <w:pPr>
        <w:jc w:val="both"/>
        <w:rPr>
          <w:lang w:eastAsia="zh-CN"/>
        </w:rPr>
      </w:pPr>
      <w:r w:rsidRPr="008D7C4F">
        <w:t>For PRACH procedure design, it is necessary to consider its impact for different aspects of NR design.</w:t>
      </w:r>
    </w:p>
    <w:p w14:paraId="0A5D529B" w14:textId="77777777" w:rsidR="00C32C91" w:rsidRPr="008D7C4F" w:rsidRDefault="00C32C91" w:rsidP="00C32C91">
      <w:pPr>
        <w:jc w:val="both"/>
        <w:rPr>
          <w:lang w:eastAsia="zh-CN"/>
        </w:rPr>
      </w:pPr>
      <w:r w:rsidRPr="008D7C4F">
        <w:rPr>
          <w:lang w:eastAsia="zh-CN"/>
        </w:rPr>
        <w:t xml:space="preserve">Here, we will discuss about the RAR window in NTN. </w:t>
      </w:r>
      <w:r w:rsidRPr="008D7C4F">
        <w:t>As we known, the maximum random access (RA) response window size in NR may not be sufficient to support the random access procedure in NTN due to large propagation delay. A straightforward way to tackle this problem is to allow the BS to configure larger RA response window sizes in NTN. However, extending the RA response window size causes in the existing procedure introduces unnecessary UE monitoring intervals due to large propagation delay in NTNs. This is undesirable as more power consumption will be required at the UE side. Therefore, an improved solution to handle long propagation delay is to let a UE go into power saving mode after preamble transmission and wake up only when the RA response window starts. As a result, it is necessary to enlarge the current window for the PRACH response in NR. To put it another way,</w:t>
      </w:r>
      <w:r w:rsidRPr="008D7C4F">
        <w:rPr>
          <w:color w:val="000000"/>
        </w:rPr>
        <w:t xml:space="preserve"> the value between PRACH transmission time and start time of the RAR window, has to be adjusted correctly taking NTN RTT into account. </w:t>
      </w:r>
    </w:p>
    <w:p w14:paraId="3936AEB8" w14:textId="77777777" w:rsidR="00C32C91" w:rsidRPr="008D7C4F" w:rsidRDefault="00C32C91" w:rsidP="00C32C91">
      <w:pPr>
        <w:spacing w:after="0" w:line="240" w:lineRule="auto"/>
        <w:jc w:val="both"/>
      </w:pPr>
      <w:r w:rsidRPr="008D7C4F">
        <w:t xml:space="preserve">Huge propagation delay </w:t>
      </w:r>
      <w:r w:rsidRPr="008D7C4F">
        <w:rPr>
          <w:u w:color="FFFF00"/>
        </w:rPr>
        <w:t>[66.7μs, 120ms]</w:t>
      </w:r>
      <w:r w:rsidRPr="008D7C4F">
        <w:t xml:space="preserve"> corresponding to BS heights </w:t>
      </w:r>
      <w:r w:rsidRPr="008D7C4F">
        <w:rPr>
          <w:u w:color="FFFF00"/>
        </w:rPr>
        <w:t>[8km, 35786km]</w:t>
      </w:r>
      <w:r w:rsidRPr="008D7C4F">
        <w:t xml:space="preserve"> will lead to long RA response procedure as shown in </w:t>
      </w:r>
      <w:r w:rsidRPr="008D7C4F">
        <w:rPr>
          <w:rFonts w:cs="Times New Roman"/>
          <w:lang w:eastAsia="zh-CN"/>
        </w:rPr>
        <w:t>Figure 7.3.4.1-3.</w:t>
      </w:r>
      <w:r w:rsidRPr="008D7C4F">
        <w:t xml:space="preserve"> As a result, it is necessary to shorten the RA transmission/ retransmission delay and design an NTN-specific RAR window based on the given BS information to make the UE efficient and power saving 4-step gNB-UE hands-shaking </w:t>
      </w:r>
      <w:r w:rsidRPr="008D7C4F">
        <w:lastRenderedPageBreak/>
        <w:t>transmission/retransmission legacy mechanism should be revised to accommodate the NTN due to huge access delay. 2-step RACH procedure could be studied for NR supporting NTN as well. So, the enhancement on RACH procedure design is needed in NTN with long propagation delay considering UE power, information interaction and fast TA updating.</w:t>
      </w:r>
    </w:p>
    <w:p w14:paraId="01D99B58" w14:textId="77777777" w:rsidR="00C32C91" w:rsidRPr="008D7C4F" w:rsidRDefault="00C32C91" w:rsidP="00C32C91">
      <w:pPr>
        <w:spacing w:after="0" w:line="240" w:lineRule="auto"/>
        <w:jc w:val="both"/>
      </w:pPr>
    </w:p>
    <w:p w14:paraId="142931EC" w14:textId="77777777" w:rsidR="00C32C91" w:rsidRPr="008D7C4F" w:rsidRDefault="00C32C91" w:rsidP="00C32C91">
      <w:pPr>
        <w:tabs>
          <w:tab w:val="left" w:pos="1985"/>
        </w:tabs>
        <w:overflowPunct w:val="0"/>
        <w:autoSpaceDE w:val="0"/>
        <w:autoSpaceDN w:val="0"/>
        <w:adjustRightInd w:val="0"/>
        <w:spacing w:after="120"/>
        <w:jc w:val="center"/>
        <w:textAlignment w:val="baseline"/>
        <w:rPr>
          <w:rFonts w:cs="Times New Roman"/>
          <w:lang w:eastAsia="zh-CN"/>
        </w:rPr>
      </w:pPr>
      <w:r w:rsidRPr="00CB77CC">
        <w:rPr>
          <w:iCs/>
          <w:noProof/>
          <w:color w:val="000000" w:themeColor="text1"/>
          <w:lang w:val="en-GB" w:eastAsia="en-GB"/>
        </w:rPr>
        <w:drawing>
          <wp:inline distT="0" distB="0" distL="0" distR="0" wp14:anchorId="7DBFBA72" wp14:editId="3F609A94">
            <wp:extent cx="5971540" cy="33585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971540" cy="3358515"/>
                    </a:xfrm>
                    <a:prstGeom prst="rect">
                      <a:avLst/>
                    </a:prstGeom>
                  </pic:spPr>
                </pic:pic>
              </a:graphicData>
            </a:graphic>
          </wp:inline>
        </w:drawing>
      </w:r>
      <w:r w:rsidRPr="008D7C4F">
        <w:rPr>
          <w:rFonts w:cs="Times New Roman"/>
          <w:lang w:eastAsia="zh-CN"/>
        </w:rPr>
        <w:t>Figure 2.3-2: Random access design for NTN with long propagation delay</w:t>
      </w:r>
    </w:p>
    <w:p w14:paraId="0B6CF1FF" w14:textId="77777777" w:rsidR="00C32C91" w:rsidRPr="008D7C4F" w:rsidRDefault="00C32C91" w:rsidP="00C32C91">
      <w:pPr>
        <w:jc w:val="both"/>
      </w:pPr>
    </w:p>
    <w:p w14:paraId="364881C2" w14:textId="0582997F" w:rsidR="00C32C91" w:rsidRPr="008D7C4F" w:rsidRDefault="00634598" w:rsidP="00C32C91">
      <w:pPr>
        <w:pStyle w:val="Titre2"/>
        <w:pBdr>
          <w:top w:val="none" w:sz="0" w:space="0" w:color="auto"/>
        </w:pBdr>
        <w:overflowPunct w:val="0"/>
        <w:autoSpaceDE w:val="0"/>
        <w:autoSpaceDN w:val="0"/>
        <w:adjustRightInd w:val="0"/>
        <w:rPr>
          <w:rFonts w:eastAsia="SimSun" w:cs="Times New Roman"/>
          <w:color w:val="auto"/>
          <w:szCs w:val="20"/>
          <w:lang w:eastAsia="en-US"/>
        </w:rPr>
      </w:pPr>
      <w:r w:rsidRPr="008D7C4F">
        <w:rPr>
          <w:rFonts w:eastAsia="SimSun" w:cs="Times New Roman"/>
          <w:color w:val="auto"/>
          <w:szCs w:val="20"/>
          <w:lang w:eastAsia="en-US"/>
        </w:rPr>
        <w:t>3.</w:t>
      </w:r>
      <w:r w:rsidR="00636297" w:rsidRPr="008D7C4F">
        <w:rPr>
          <w:rFonts w:eastAsia="SimSun" w:cs="Times New Roman"/>
          <w:color w:val="auto"/>
          <w:szCs w:val="20"/>
          <w:lang w:eastAsia="en-US"/>
        </w:rPr>
        <w:t>9</w:t>
      </w:r>
      <w:r w:rsidR="00C32C91" w:rsidRPr="008D7C4F">
        <w:rPr>
          <w:rFonts w:eastAsia="SimSun" w:cs="Times New Roman"/>
          <w:color w:val="auto"/>
          <w:szCs w:val="20"/>
          <w:lang w:eastAsia="en-US"/>
        </w:rPr>
        <w:t xml:space="preserve"> TA in Random access response message</w:t>
      </w:r>
    </w:p>
    <w:p w14:paraId="16A6CAD1" w14:textId="77777777" w:rsidR="00C32C91" w:rsidRPr="008D7C4F" w:rsidRDefault="00C32C91" w:rsidP="00C32C91">
      <w:pPr>
        <w:jc w:val="both"/>
      </w:pPr>
      <w:r w:rsidRPr="008D7C4F">
        <w:t xml:space="preserve">For the HAPS deployment scenarios in S-band, the </w:t>
      </w:r>
      <w:r w:rsidRPr="008D7C4F">
        <w:rPr>
          <w:rFonts w:eastAsia="Times New Roman"/>
          <w:lang w:val="en-GB"/>
        </w:rPr>
        <w:t xml:space="preserve">maximum differential distance between two UEs should be lower than the value authorised by the S-band compatible SCS value. In other words, </w:t>
      </w:r>
      <w:r w:rsidRPr="008D7C4F">
        <w:t>the deduced cell diameter (beam foot print size) should be lower than the maximum deduced value authorized by the SCS.  No specific solution needs to be put in place for NTN systems.</w:t>
      </w:r>
    </w:p>
    <w:p w14:paraId="17BF7784" w14:textId="2B6F3BC1" w:rsidR="00C32C91" w:rsidRPr="008D7C4F" w:rsidRDefault="00C32C91" w:rsidP="00C32C91">
      <w:pPr>
        <w:jc w:val="both"/>
      </w:pPr>
      <w:r w:rsidRPr="008D7C4F">
        <w:t xml:space="preserve">For LEO, MEO and GEO deployments: </w:t>
      </w:r>
      <w:r w:rsidRPr="008D7C4F">
        <w:rPr>
          <w:rFonts w:eastAsia="Times New Roman"/>
          <w:lang w:val="en-GB"/>
        </w:rPr>
        <w:t xml:space="preserve">the TA range extracted from RAR message during initial access as per </w:t>
      </w:r>
      <w:r w:rsidRPr="00016502">
        <w:rPr>
          <w:rFonts w:eastAsia="Times New Roman"/>
          <w:u w:color="FFFF00"/>
          <w:lang w:val="en-GB"/>
        </w:rPr>
        <w:t>[</w:t>
      </w:r>
      <w:r w:rsidR="001A5E9E" w:rsidRPr="00016502">
        <w:rPr>
          <w:u w:color="FFFF00"/>
        </w:rPr>
        <w:t>39</w:t>
      </w:r>
      <w:r w:rsidRPr="00016502">
        <w:rPr>
          <w:u w:color="FFFF00"/>
        </w:rPr>
        <w:t>-</w:t>
      </w:r>
      <w:r w:rsidRPr="00016502">
        <w:rPr>
          <w:rFonts w:eastAsia="Times New Roman"/>
          <w:u w:color="FFFF00"/>
          <w:lang w:val="en-GB"/>
        </w:rPr>
        <w:t>1]</w:t>
      </w:r>
      <w:r w:rsidRPr="008D7C4F">
        <w:rPr>
          <w:rFonts w:eastAsia="Times New Roman"/>
          <w:lang w:val="en-GB"/>
        </w:rPr>
        <w:t xml:space="preserve">, allows to support a maximum differential distance authorised by the SCS value, by compensating the differential delay in the </w:t>
      </w:r>
      <w:proofErr w:type="spellStart"/>
      <w:r w:rsidRPr="008D7C4F">
        <w:rPr>
          <w:rFonts w:eastAsia="Times New Roman"/>
          <w:lang w:val="en-GB"/>
        </w:rPr>
        <w:t>gNB</w:t>
      </w:r>
      <w:proofErr w:type="spellEnd"/>
      <w:r w:rsidRPr="008D7C4F">
        <w:rPr>
          <w:rFonts w:eastAsia="Times New Roman"/>
          <w:lang w:val="en-GB"/>
        </w:rPr>
        <w:t>. If maximum differential distance between two UE served by the same satellite within the same beam is larger than the maximum differential distance authorised by the SCS value, a Delay compensation technique can be implemented in the UE which can then determine the TA to be a priori applied. The Delay compensation technique can be based on the use of Global Navigation Satellite System based receivers in the UE or alternative techniques to be further studied.</w:t>
      </w:r>
    </w:p>
    <w:p w14:paraId="6D8C8426" w14:textId="77777777" w:rsidR="00C32C91" w:rsidRPr="008D7C4F" w:rsidRDefault="00C32C91" w:rsidP="00C32C91">
      <w:pPr>
        <w:jc w:val="both"/>
      </w:pPr>
    </w:p>
    <w:p w14:paraId="28AF1435" w14:textId="201F03ED" w:rsidR="0058106F" w:rsidRPr="008D7C4F" w:rsidRDefault="00A36FB1" w:rsidP="00FC2FB6">
      <w:pPr>
        <w:pStyle w:val="Titre1"/>
        <w:numPr>
          <w:ilvl w:val="0"/>
          <w:numId w:val="2"/>
        </w:numPr>
        <w:textAlignment w:val="auto"/>
        <w:rPr>
          <w:lang w:val="en-US"/>
        </w:rPr>
      </w:pPr>
      <w:r w:rsidRPr="008D7C4F">
        <w:rPr>
          <w:lang w:val="en-US"/>
        </w:rPr>
        <w:lastRenderedPageBreak/>
        <w:t>Conclusion</w:t>
      </w:r>
    </w:p>
    <w:p w14:paraId="2B1CBB26" w14:textId="0801D356" w:rsidR="00866265" w:rsidRPr="00540422" w:rsidRDefault="00403231" w:rsidP="00016502">
      <w:pPr>
        <w:jc w:val="both"/>
        <w:rPr>
          <w:sz w:val="24"/>
          <w:szCs w:val="24"/>
          <w:lang w:val="en-GB"/>
        </w:rPr>
      </w:pPr>
      <w:r>
        <w:t>Preliminary</w:t>
      </w:r>
      <w:r w:rsidRPr="008D7C4F">
        <w:t xml:space="preserve"> </w:t>
      </w:r>
      <w:r w:rsidR="00151A7B" w:rsidRPr="008D7C4F">
        <w:t>solutions enabling NR to support non-terrestrial networks have been presented in this document. Th</w:t>
      </w:r>
      <w:r w:rsidR="00830061" w:rsidRPr="008D7C4F">
        <w:t>ese</w:t>
      </w:r>
      <w:r w:rsidR="00151A7B" w:rsidRPr="008D7C4F">
        <w:t xml:space="preserve"> </w:t>
      </w:r>
      <w:r w:rsidR="00830061" w:rsidRPr="008D7C4F">
        <w:t>potential solutions do</w:t>
      </w:r>
      <w:r w:rsidR="00151A7B" w:rsidRPr="008D7C4F">
        <w:t xml:space="preserve"> not preclude that other solutions will be found and benchmarked with those ones.</w:t>
      </w:r>
    </w:p>
    <w:sectPr w:rsidR="00866265" w:rsidRPr="00540422">
      <w:headerReference w:type="even" r:id="rId36"/>
      <w:headerReference w:type="default" r:id="rId37"/>
      <w:footerReference w:type="even" r:id="rId38"/>
      <w:footerReference w:type="default" r:id="rId39"/>
      <w:headerReference w:type="first" r:id="rId40"/>
      <w:footerReference w:type="first" r:id="rId41"/>
      <w:pgSz w:w="12240" w:h="15840"/>
      <w:pgMar w:top="1440" w:right="1440" w:bottom="1440" w:left="1440" w:header="0" w:footer="0" w:gutter="0"/>
      <w:cols w:space="720"/>
      <w:formProt w:val="0"/>
      <w:docGrid w:linePitch="360" w:charSpace="-20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0DE2F0" w15:done="0"/>
  <w15:commentEx w15:paraId="509A241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98A75" w14:textId="77777777" w:rsidR="003B2926" w:rsidRDefault="003B2926" w:rsidP="00691945">
      <w:pPr>
        <w:spacing w:after="0" w:line="240" w:lineRule="auto"/>
      </w:pPr>
      <w:r>
        <w:separator/>
      </w:r>
    </w:p>
  </w:endnote>
  <w:endnote w:type="continuationSeparator" w:id="0">
    <w:p w14:paraId="48F28C0E" w14:textId="77777777" w:rsidR="003B2926" w:rsidRDefault="003B2926" w:rsidP="00691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11B39" w14:textId="77777777" w:rsidR="00830BDF" w:rsidRDefault="00830BD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9686484"/>
      <w:docPartObj>
        <w:docPartGallery w:val="Page Numbers (Bottom of Page)"/>
        <w:docPartUnique/>
      </w:docPartObj>
    </w:sdtPr>
    <w:sdtEndPr/>
    <w:sdtContent>
      <w:p w14:paraId="7BD2EF1F" w14:textId="513BF464" w:rsidR="00830BDF" w:rsidRDefault="00830BDF">
        <w:pPr>
          <w:pStyle w:val="Pieddepage"/>
          <w:jc w:val="right"/>
        </w:pPr>
        <w:r>
          <w:fldChar w:fldCharType="begin"/>
        </w:r>
        <w:r>
          <w:instrText>PAGE   \* MERGEFORMAT</w:instrText>
        </w:r>
        <w:r>
          <w:fldChar w:fldCharType="separate"/>
        </w:r>
        <w:r w:rsidR="008D1C09" w:rsidRPr="008D1C09">
          <w:rPr>
            <w:noProof/>
            <w:lang w:val="fr-FR"/>
          </w:rPr>
          <w:t>1</w:t>
        </w:r>
        <w:r>
          <w:fldChar w:fldCharType="end"/>
        </w:r>
      </w:p>
    </w:sdtContent>
  </w:sdt>
  <w:p w14:paraId="56C83ED7" w14:textId="77777777" w:rsidR="00830BDF" w:rsidRDefault="00830BDF">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8E4EA6" w14:textId="77777777" w:rsidR="00830BDF" w:rsidRDefault="00830BD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EE93D0" w14:textId="77777777" w:rsidR="003B2926" w:rsidRDefault="003B2926" w:rsidP="00691945">
      <w:pPr>
        <w:spacing w:after="0" w:line="240" w:lineRule="auto"/>
      </w:pPr>
      <w:r>
        <w:separator/>
      </w:r>
    </w:p>
  </w:footnote>
  <w:footnote w:type="continuationSeparator" w:id="0">
    <w:p w14:paraId="71D558E0" w14:textId="77777777" w:rsidR="003B2926" w:rsidRDefault="003B2926" w:rsidP="006919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9448A" w14:textId="77777777" w:rsidR="00830BDF" w:rsidRDefault="00830BD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B49A2" w14:textId="77777777" w:rsidR="00830BDF" w:rsidRDefault="00830BD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FBDC6" w14:textId="77777777" w:rsidR="00830BDF" w:rsidRDefault="00830BD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57976"/>
    <w:multiLevelType w:val="hybridMultilevel"/>
    <w:tmpl w:val="CD44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49646E"/>
    <w:multiLevelType w:val="hybridMultilevel"/>
    <w:tmpl w:val="23F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nsid w:val="1AF60BDD"/>
    <w:multiLevelType w:val="hybridMultilevel"/>
    <w:tmpl w:val="BE823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1560F"/>
    <w:multiLevelType w:val="hybridMultilevel"/>
    <w:tmpl w:val="A276F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1F511D93"/>
    <w:multiLevelType w:val="hybridMultilevel"/>
    <w:tmpl w:val="76BA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467A4E"/>
    <w:multiLevelType w:val="multilevel"/>
    <w:tmpl w:val="C316B772"/>
    <w:lvl w:ilvl="0">
      <w:start w:val="7"/>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F4B110A"/>
    <w:multiLevelType w:val="hybridMultilevel"/>
    <w:tmpl w:val="E31A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29403C"/>
    <w:multiLevelType w:val="hybridMultilevel"/>
    <w:tmpl w:val="FF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A43B9A"/>
    <w:multiLevelType w:val="hybridMultilevel"/>
    <w:tmpl w:val="6F2C8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3C0510"/>
    <w:multiLevelType w:val="hybridMultilevel"/>
    <w:tmpl w:val="BEE2546A"/>
    <w:lvl w:ilvl="0" w:tplc="E6447DB4">
      <w:start w:val="7"/>
      <w:numFmt w:val="bullet"/>
      <w:lvlText w:val="-"/>
      <w:lvlJc w:val="left"/>
      <w:pPr>
        <w:ind w:left="1800" w:hanging="360"/>
      </w:pPr>
      <w:rPr>
        <w:rFonts w:ascii="Calibri" w:eastAsiaTheme="minorEastAsia"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F6E0FFD"/>
    <w:multiLevelType w:val="hybridMultilevel"/>
    <w:tmpl w:val="0616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F274D11"/>
    <w:multiLevelType w:val="hybridMultilevel"/>
    <w:tmpl w:val="75BE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A0565C"/>
    <w:multiLevelType w:val="hybridMultilevel"/>
    <w:tmpl w:val="0E0C4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441B1A"/>
    <w:multiLevelType w:val="hybridMultilevel"/>
    <w:tmpl w:val="DB443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665C2A8E"/>
    <w:multiLevelType w:val="hybridMultilevel"/>
    <w:tmpl w:val="98FA2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627A31"/>
    <w:multiLevelType w:val="hybridMultilevel"/>
    <w:tmpl w:val="F38E2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F60E06"/>
    <w:multiLevelType w:val="hybridMultilevel"/>
    <w:tmpl w:val="70DE7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EA91044"/>
    <w:multiLevelType w:val="hybridMultilevel"/>
    <w:tmpl w:val="551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437902"/>
    <w:multiLevelType w:val="hybridMultilevel"/>
    <w:tmpl w:val="3B18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4C7260"/>
    <w:multiLevelType w:val="hybridMultilevel"/>
    <w:tmpl w:val="F3103630"/>
    <w:lvl w:ilvl="0" w:tplc="DDA49ABE">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1337590"/>
    <w:multiLevelType w:val="multilevel"/>
    <w:tmpl w:val="E9DE8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4B47E81"/>
    <w:multiLevelType w:val="hybridMultilevel"/>
    <w:tmpl w:val="C37C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F13867"/>
    <w:multiLevelType w:val="hybridMultilevel"/>
    <w:tmpl w:val="F9722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DF61C26"/>
    <w:multiLevelType w:val="hybridMultilevel"/>
    <w:tmpl w:val="6ADCFF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2"/>
  </w:num>
  <w:num w:numId="3">
    <w:abstractNumId w:val="6"/>
  </w:num>
  <w:num w:numId="4">
    <w:abstractNumId w:val="0"/>
  </w:num>
  <w:num w:numId="5">
    <w:abstractNumId w:val="18"/>
  </w:num>
  <w:num w:numId="6">
    <w:abstractNumId w:val="7"/>
  </w:num>
  <w:num w:numId="7">
    <w:abstractNumId w:val="24"/>
  </w:num>
  <w:num w:numId="8">
    <w:abstractNumId w:val="11"/>
  </w:num>
  <w:num w:numId="9">
    <w:abstractNumId w:val="20"/>
  </w:num>
  <w:num w:numId="10">
    <w:abstractNumId w:val="5"/>
  </w:num>
  <w:num w:numId="11">
    <w:abstractNumId w:val="14"/>
  </w:num>
  <w:num w:numId="12">
    <w:abstractNumId w:val="1"/>
  </w:num>
  <w:num w:numId="13">
    <w:abstractNumId w:val="21"/>
  </w:num>
  <w:num w:numId="14">
    <w:abstractNumId w:val="3"/>
  </w:num>
  <w:num w:numId="15">
    <w:abstractNumId w:val="8"/>
  </w:num>
  <w:num w:numId="16">
    <w:abstractNumId w:val="9"/>
  </w:num>
  <w:num w:numId="17">
    <w:abstractNumId w:val="2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5"/>
  </w:num>
  <w:num w:numId="33">
    <w:abstractNumId w:val="26"/>
  </w:num>
  <w:num w:numId="34">
    <w:abstractNumId w:val="10"/>
  </w:num>
  <w:num w:numId="35">
    <w:abstractNumId w:val="4"/>
  </w:num>
  <w:num w:numId="36">
    <w:abstractNumId w:val="16"/>
  </w:num>
  <w:num w:numId="37">
    <w:abstractNumId w:val="13"/>
  </w:num>
  <w:num w:numId="38">
    <w:abstractNumId w:val="17"/>
  </w:num>
  <w:num w:numId="39">
    <w:abstractNumId w:val="15"/>
  </w:num>
  <w:num w:numId="40">
    <w:abstractNumId w:val="22"/>
  </w:num>
  <w:num w:numId="4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it-IT" w:vendorID="64" w:dllVersion="131078" w:nlCheck="1" w:checkStyle="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02CE"/>
    <w:rsid w:val="0000094D"/>
    <w:rsid w:val="000012F7"/>
    <w:rsid w:val="000065E9"/>
    <w:rsid w:val="000137C6"/>
    <w:rsid w:val="00016502"/>
    <w:rsid w:val="00017AD4"/>
    <w:rsid w:val="00043FFC"/>
    <w:rsid w:val="00044144"/>
    <w:rsid w:val="000562F8"/>
    <w:rsid w:val="00063583"/>
    <w:rsid w:val="0006659C"/>
    <w:rsid w:val="00067D88"/>
    <w:rsid w:val="00071A82"/>
    <w:rsid w:val="00075877"/>
    <w:rsid w:val="00080661"/>
    <w:rsid w:val="000838C0"/>
    <w:rsid w:val="00085C5F"/>
    <w:rsid w:val="00086D5D"/>
    <w:rsid w:val="0009253C"/>
    <w:rsid w:val="00095119"/>
    <w:rsid w:val="000A57B3"/>
    <w:rsid w:val="000B0F34"/>
    <w:rsid w:val="000C2128"/>
    <w:rsid w:val="000C66E2"/>
    <w:rsid w:val="000C764E"/>
    <w:rsid w:val="000C7967"/>
    <w:rsid w:val="000D0E48"/>
    <w:rsid w:val="000D24E4"/>
    <w:rsid w:val="000D30D6"/>
    <w:rsid w:val="000D5937"/>
    <w:rsid w:val="000D5F5E"/>
    <w:rsid w:val="000D686F"/>
    <w:rsid w:val="000E0A08"/>
    <w:rsid w:val="000E4672"/>
    <w:rsid w:val="000E7097"/>
    <w:rsid w:val="000F582D"/>
    <w:rsid w:val="000F5D06"/>
    <w:rsid w:val="00102F4E"/>
    <w:rsid w:val="0010483F"/>
    <w:rsid w:val="001051BB"/>
    <w:rsid w:val="00115DCF"/>
    <w:rsid w:val="00130EF1"/>
    <w:rsid w:val="00131E58"/>
    <w:rsid w:val="00132D6A"/>
    <w:rsid w:val="001342F0"/>
    <w:rsid w:val="0014461D"/>
    <w:rsid w:val="00144E5C"/>
    <w:rsid w:val="001474B0"/>
    <w:rsid w:val="00151A7B"/>
    <w:rsid w:val="00153FD9"/>
    <w:rsid w:val="00157C07"/>
    <w:rsid w:val="001673AF"/>
    <w:rsid w:val="00171046"/>
    <w:rsid w:val="00171898"/>
    <w:rsid w:val="00184408"/>
    <w:rsid w:val="001863DE"/>
    <w:rsid w:val="001A202F"/>
    <w:rsid w:val="001A2A0B"/>
    <w:rsid w:val="001A3615"/>
    <w:rsid w:val="001A5E9E"/>
    <w:rsid w:val="001B4199"/>
    <w:rsid w:val="001B72AD"/>
    <w:rsid w:val="001C5C06"/>
    <w:rsid w:val="001C65A3"/>
    <w:rsid w:val="001C72A0"/>
    <w:rsid w:val="001D44F3"/>
    <w:rsid w:val="001D6677"/>
    <w:rsid w:val="001F2D5B"/>
    <w:rsid w:val="001F4EBF"/>
    <w:rsid w:val="0020137C"/>
    <w:rsid w:val="00206FC7"/>
    <w:rsid w:val="00210AD8"/>
    <w:rsid w:val="00213A0A"/>
    <w:rsid w:val="00221C40"/>
    <w:rsid w:val="002233ED"/>
    <w:rsid w:val="00240BC1"/>
    <w:rsid w:val="00243CA0"/>
    <w:rsid w:val="002468D2"/>
    <w:rsid w:val="00260D7D"/>
    <w:rsid w:val="0026462F"/>
    <w:rsid w:val="002670B4"/>
    <w:rsid w:val="0027189F"/>
    <w:rsid w:val="0027302B"/>
    <w:rsid w:val="00281705"/>
    <w:rsid w:val="00281D3F"/>
    <w:rsid w:val="002844FA"/>
    <w:rsid w:val="0029325E"/>
    <w:rsid w:val="002A1F5B"/>
    <w:rsid w:val="002A403C"/>
    <w:rsid w:val="002A7955"/>
    <w:rsid w:val="002B2411"/>
    <w:rsid w:val="002C0769"/>
    <w:rsid w:val="002D004E"/>
    <w:rsid w:val="002D3602"/>
    <w:rsid w:val="002D3B3D"/>
    <w:rsid w:val="002D4B02"/>
    <w:rsid w:val="002D5B16"/>
    <w:rsid w:val="002D5BE5"/>
    <w:rsid w:val="002D5EE2"/>
    <w:rsid w:val="002F07B1"/>
    <w:rsid w:val="002F6E43"/>
    <w:rsid w:val="002F7C1B"/>
    <w:rsid w:val="00305919"/>
    <w:rsid w:val="0031303F"/>
    <w:rsid w:val="00320043"/>
    <w:rsid w:val="003227E6"/>
    <w:rsid w:val="003240FB"/>
    <w:rsid w:val="003335BA"/>
    <w:rsid w:val="0033779B"/>
    <w:rsid w:val="00342D1F"/>
    <w:rsid w:val="00344701"/>
    <w:rsid w:val="00345773"/>
    <w:rsid w:val="00346D15"/>
    <w:rsid w:val="003511C5"/>
    <w:rsid w:val="00351D62"/>
    <w:rsid w:val="00356000"/>
    <w:rsid w:val="00374D40"/>
    <w:rsid w:val="0038165A"/>
    <w:rsid w:val="00381B32"/>
    <w:rsid w:val="00384240"/>
    <w:rsid w:val="0038486A"/>
    <w:rsid w:val="003854EC"/>
    <w:rsid w:val="00386033"/>
    <w:rsid w:val="00392088"/>
    <w:rsid w:val="00393D3A"/>
    <w:rsid w:val="00393F36"/>
    <w:rsid w:val="00393FE8"/>
    <w:rsid w:val="00395108"/>
    <w:rsid w:val="00396CA1"/>
    <w:rsid w:val="003A0B62"/>
    <w:rsid w:val="003A255A"/>
    <w:rsid w:val="003A7BBE"/>
    <w:rsid w:val="003B2926"/>
    <w:rsid w:val="003B3321"/>
    <w:rsid w:val="003B3EAC"/>
    <w:rsid w:val="003B7185"/>
    <w:rsid w:val="003C2B54"/>
    <w:rsid w:val="003D5557"/>
    <w:rsid w:val="003D741E"/>
    <w:rsid w:val="003E0439"/>
    <w:rsid w:val="003E1B5E"/>
    <w:rsid w:val="003E61F8"/>
    <w:rsid w:val="003E6FBC"/>
    <w:rsid w:val="003E790D"/>
    <w:rsid w:val="003E7D1D"/>
    <w:rsid w:val="003F75B6"/>
    <w:rsid w:val="00403231"/>
    <w:rsid w:val="00407B4A"/>
    <w:rsid w:val="00407BEF"/>
    <w:rsid w:val="0041097C"/>
    <w:rsid w:val="00410D93"/>
    <w:rsid w:val="004120EF"/>
    <w:rsid w:val="00412189"/>
    <w:rsid w:val="00415DB4"/>
    <w:rsid w:val="004177E5"/>
    <w:rsid w:val="00422536"/>
    <w:rsid w:val="00424084"/>
    <w:rsid w:val="00426BC6"/>
    <w:rsid w:val="00426C95"/>
    <w:rsid w:val="00443782"/>
    <w:rsid w:val="00444A12"/>
    <w:rsid w:val="00454190"/>
    <w:rsid w:val="004552A6"/>
    <w:rsid w:val="00456816"/>
    <w:rsid w:val="0046320C"/>
    <w:rsid w:val="0047211E"/>
    <w:rsid w:val="0047583A"/>
    <w:rsid w:val="00480193"/>
    <w:rsid w:val="004867E1"/>
    <w:rsid w:val="00486A9E"/>
    <w:rsid w:val="00487740"/>
    <w:rsid w:val="00490386"/>
    <w:rsid w:val="00493F9B"/>
    <w:rsid w:val="0049565F"/>
    <w:rsid w:val="00496523"/>
    <w:rsid w:val="004A1C0A"/>
    <w:rsid w:val="004A34F9"/>
    <w:rsid w:val="004A4D83"/>
    <w:rsid w:val="004B371F"/>
    <w:rsid w:val="004B42A1"/>
    <w:rsid w:val="004C6FA4"/>
    <w:rsid w:val="004D5ED2"/>
    <w:rsid w:val="004D6061"/>
    <w:rsid w:val="004E6BF2"/>
    <w:rsid w:val="004F1543"/>
    <w:rsid w:val="004F5E4E"/>
    <w:rsid w:val="004F7BFD"/>
    <w:rsid w:val="00507E3A"/>
    <w:rsid w:val="00510947"/>
    <w:rsid w:val="00510B38"/>
    <w:rsid w:val="00510CA7"/>
    <w:rsid w:val="00513830"/>
    <w:rsid w:val="00516228"/>
    <w:rsid w:val="00517310"/>
    <w:rsid w:val="00523EC0"/>
    <w:rsid w:val="00524440"/>
    <w:rsid w:val="00525810"/>
    <w:rsid w:val="0054026E"/>
    <w:rsid w:val="00540422"/>
    <w:rsid w:val="0054498D"/>
    <w:rsid w:val="005506A4"/>
    <w:rsid w:val="0055517B"/>
    <w:rsid w:val="0056167A"/>
    <w:rsid w:val="00562110"/>
    <w:rsid w:val="00573E37"/>
    <w:rsid w:val="0057520F"/>
    <w:rsid w:val="005772F7"/>
    <w:rsid w:val="0058106F"/>
    <w:rsid w:val="00590209"/>
    <w:rsid w:val="00590898"/>
    <w:rsid w:val="00593F6D"/>
    <w:rsid w:val="005972E4"/>
    <w:rsid w:val="005A24E1"/>
    <w:rsid w:val="005A626B"/>
    <w:rsid w:val="005A77B6"/>
    <w:rsid w:val="005B1C0A"/>
    <w:rsid w:val="005B2E47"/>
    <w:rsid w:val="005B3085"/>
    <w:rsid w:val="005C102D"/>
    <w:rsid w:val="005C28BF"/>
    <w:rsid w:val="005C71DC"/>
    <w:rsid w:val="005D108D"/>
    <w:rsid w:val="005D18F7"/>
    <w:rsid w:val="005D59A1"/>
    <w:rsid w:val="005E281A"/>
    <w:rsid w:val="005F40D9"/>
    <w:rsid w:val="00603BB7"/>
    <w:rsid w:val="00611676"/>
    <w:rsid w:val="006138B4"/>
    <w:rsid w:val="00613C8A"/>
    <w:rsid w:val="0061787F"/>
    <w:rsid w:val="006337AB"/>
    <w:rsid w:val="00634598"/>
    <w:rsid w:val="00636297"/>
    <w:rsid w:val="0064397D"/>
    <w:rsid w:val="00645EE1"/>
    <w:rsid w:val="00651942"/>
    <w:rsid w:val="00651ED3"/>
    <w:rsid w:val="006523E7"/>
    <w:rsid w:val="00652C20"/>
    <w:rsid w:val="00662FD9"/>
    <w:rsid w:val="00663F90"/>
    <w:rsid w:val="00664095"/>
    <w:rsid w:val="00664529"/>
    <w:rsid w:val="00673D04"/>
    <w:rsid w:val="00676B1D"/>
    <w:rsid w:val="00683D8D"/>
    <w:rsid w:val="00685FA6"/>
    <w:rsid w:val="00690305"/>
    <w:rsid w:val="00690AE3"/>
    <w:rsid w:val="006910ED"/>
    <w:rsid w:val="00691945"/>
    <w:rsid w:val="00693A82"/>
    <w:rsid w:val="006962F5"/>
    <w:rsid w:val="00697A90"/>
    <w:rsid w:val="006A1D8B"/>
    <w:rsid w:val="006A504A"/>
    <w:rsid w:val="006B1F28"/>
    <w:rsid w:val="006B491D"/>
    <w:rsid w:val="006B5427"/>
    <w:rsid w:val="006C17D2"/>
    <w:rsid w:val="006C65A2"/>
    <w:rsid w:val="006D1226"/>
    <w:rsid w:val="006D7CFF"/>
    <w:rsid w:val="006D7DA6"/>
    <w:rsid w:val="006E14CB"/>
    <w:rsid w:val="006E1A29"/>
    <w:rsid w:val="006E6D7E"/>
    <w:rsid w:val="006F1CEE"/>
    <w:rsid w:val="006F2313"/>
    <w:rsid w:val="00703C8F"/>
    <w:rsid w:val="00706B30"/>
    <w:rsid w:val="00712D36"/>
    <w:rsid w:val="007140F1"/>
    <w:rsid w:val="0071444E"/>
    <w:rsid w:val="0071701F"/>
    <w:rsid w:val="00732B36"/>
    <w:rsid w:val="007332D6"/>
    <w:rsid w:val="00733B28"/>
    <w:rsid w:val="00746EE6"/>
    <w:rsid w:val="00747176"/>
    <w:rsid w:val="0074765F"/>
    <w:rsid w:val="00757790"/>
    <w:rsid w:val="00763305"/>
    <w:rsid w:val="007638DE"/>
    <w:rsid w:val="00772D38"/>
    <w:rsid w:val="00777734"/>
    <w:rsid w:val="007810CA"/>
    <w:rsid w:val="00783339"/>
    <w:rsid w:val="00793929"/>
    <w:rsid w:val="007A22B7"/>
    <w:rsid w:val="007A3701"/>
    <w:rsid w:val="007B1713"/>
    <w:rsid w:val="007B6670"/>
    <w:rsid w:val="007D7676"/>
    <w:rsid w:val="007E0AE3"/>
    <w:rsid w:val="007E783A"/>
    <w:rsid w:val="00811666"/>
    <w:rsid w:val="00814836"/>
    <w:rsid w:val="00821785"/>
    <w:rsid w:val="00822EA0"/>
    <w:rsid w:val="00826067"/>
    <w:rsid w:val="00830061"/>
    <w:rsid w:val="00830BDF"/>
    <w:rsid w:val="0083453B"/>
    <w:rsid w:val="008350E7"/>
    <w:rsid w:val="008429F6"/>
    <w:rsid w:val="00843D2C"/>
    <w:rsid w:val="0084411D"/>
    <w:rsid w:val="0084615A"/>
    <w:rsid w:val="008473C5"/>
    <w:rsid w:val="0086008F"/>
    <w:rsid w:val="00866265"/>
    <w:rsid w:val="00867715"/>
    <w:rsid w:val="00867E14"/>
    <w:rsid w:val="00873702"/>
    <w:rsid w:val="00875933"/>
    <w:rsid w:val="008768A2"/>
    <w:rsid w:val="00884E9D"/>
    <w:rsid w:val="008904B7"/>
    <w:rsid w:val="00894318"/>
    <w:rsid w:val="00895840"/>
    <w:rsid w:val="008A0A4B"/>
    <w:rsid w:val="008A1AC4"/>
    <w:rsid w:val="008A21A1"/>
    <w:rsid w:val="008A3290"/>
    <w:rsid w:val="008A7367"/>
    <w:rsid w:val="008D1C09"/>
    <w:rsid w:val="008D553A"/>
    <w:rsid w:val="008D7C4F"/>
    <w:rsid w:val="008E33A3"/>
    <w:rsid w:val="008E54C4"/>
    <w:rsid w:val="008F0533"/>
    <w:rsid w:val="008F09AC"/>
    <w:rsid w:val="008F0B36"/>
    <w:rsid w:val="008F13F8"/>
    <w:rsid w:val="008F3D0B"/>
    <w:rsid w:val="008F726E"/>
    <w:rsid w:val="0090723A"/>
    <w:rsid w:val="00910ECA"/>
    <w:rsid w:val="00923CEE"/>
    <w:rsid w:val="00930103"/>
    <w:rsid w:val="0093315A"/>
    <w:rsid w:val="00950F33"/>
    <w:rsid w:val="00957CD8"/>
    <w:rsid w:val="009600EB"/>
    <w:rsid w:val="0096082D"/>
    <w:rsid w:val="0096501A"/>
    <w:rsid w:val="0096519D"/>
    <w:rsid w:val="00975D90"/>
    <w:rsid w:val="009842FF"/>
    <w:rsid w:val="00991E59"/>
    <w:rsid w:val="0099655C"/>
    <w:rsid w:val="009A4A68"/>
    <w:rsid w:val="009B039B"/>
    <w:rsid w:val="009B7DE4"/>
    <w:rsid w:val="009C16A4"/>
    <w:rsid w:val="009C307E"/>
    <w:rsid w:val="009C70A2"/>
    <w:rsid w:val="009D2054"/>
    <w:rsid w:val="009D59EB"/>
    <w:rsid w:val="009E0C9E"/>
    <w:rsid w:val="009E1582"/>
    <w:rsid w:val="00A03816"/>
    <w:rsid w:val="00A0523C"/>
    <w:rsid w:val="00A102C3"/>
    <w:rsid w:val="00A1356F"/>
    <w:rsid w:val="00A13750"/>
    <w:rsid w:val="00A14A76"/>
    <w:rsid w:val="00A15965"/>
    <w:rsid w:val="00A159D4"/>
    <w:rsid w:val="00A2786F"/>
    <w:rsid w:val="00A34ADE"/>
    <w:rsid w:val="00A36FB1"/>
    <w:rsid w:val="00A418E1"/>
    <w:rsid w:val="00A43AF1"/>
    <w:rsid w:val="00A53ACC"/>
    <w:rsid w:val="00A55485"/>
    <w:rsid w:val="00A73F41"/>
    <w:rsid w:val="00A760BF"/>
    <w:rsid w:val="00A803D3"/>
    <w:rsid w:val="00A84201"/>
    <w:rsid w:val="00A91406"/>
    <w:rsid w:val="00AA0923"/>
    <w:rsid w:val="00AA7AE7"/>
    <w:rsid w:val="00AB14FF"/>
    <w:rsid w:val="00AB35DA"/>
    <w:rsid w:val="00AB4AC3"/>
    <w:rsid w:val="00AB513B"/>
    <w:rsid w:val="00AB65B2"/>
    <w:rsid w:val="00AB6791"/>
    <w:rsid w:val="00AB679D"/>
    <w:rsid w:val="00AB69F3"/>
    <w:rsid w:val="00AC0E61"/>
    <w:rsid w:val="00AD6A73"/>
    <w:rsid w:val="00AE1290"/>
    <w:rsid w:val="00AE235B"/>
    <w:rsid w:val="00AE6C2C"/>
    <w:rsid w:val="00AF3CEC"/>
    <w:rsid w:val="00AF4E9D"/>
    <w:rsid w:val="00AF6BD5"/>
    <w:rsid w:val="00B01069"/>
    <w:rsid w:val="00B049E7"/>
    <w:rsid w:val="00B05528"/>
    <w:rsid w:val="00B06B8D"/>
    <w:rsid w:val="00B102FF"/>
    <w:rsid w:val="00B10DBB"/>
    <w:rsid w:val="00B11BB9"/>
    <w:rsid w:val="00B12387"/>
    <w:rsid w:val="00B135AF"/>
    <w:rsid w:val="00B17250"/>
    <w:rsid w:val="00B213E2"/>
    <w:rsid w:val="00B334D1"/>
    <w:rsid w:val="00B33AE2"/>
    <w:rsid w:val="00B3519F"/>
    <w:rsid w:val="00B36C0A"/>
    <w:rsid w:val="00B42535"/>
    <w:rsid w:val="00B447C5"/>
    <w:rsid w:val="00B45C37"/>
    <w:rsid w:val="00B50CC9"/>
    <w:rsid w:val="00B533E7"/>
    <w:rsid w:val="00B560A9"/>
    <w:rsid w:val="00B612C0"/>
    <w:rsid w:val="00B641D4"/>
    <w:rsid w:val="00B665C6"/>
    <w:rsid w:val="00B666ED"/>
    <w:rsid w:val="00B7120C"/>
    <w:rsid w:val="00B77E5C"/>
    <w:rsid w:val="00B8150C"/>
    <w:rsid w:val="00BB00CE"/>
    <w:rsid w:val="00BB1A82"/>
    <w:rsid w:val="00BB5B0B"/>
    <w:rsid w:val="00BC3B8B"/>
    <w:rsid w:val="00BC71C8"/>
    <w:rsid w:val="00BC7216"/>
    <w:rsid w:val="00BD6263"/>
    <w:rsid w:val="00BD77A2"/>
    <w:rsid w:val="00BE2DE0"/>
    <w:rsid w:val="00BE7026"/>
    <w:rsid w:val="00BF17D7"/>
    <w:rsid w:val="00BF2716"/>
    <w:rsid w:val="00BF6989"/>
    <w:rsid w:val="00BF6FBD"/>
    <w:rsid w:val="00C03DBB"/>
    <w:rsid w:val="00C05726"/>
    <w:rsid w:val="00C1017D"/>
    <w:rsid w:val="00C10EE3"/>
    <w:rsid w:val="00C114C0"/>
    <w:rsid w:val="00C134EE"/>
    <w:rsid w:val="00C15601"/>
    <w:rsid w:val="00C16681"/>
    <w:rsid w:val="00C16DAB"/>
    <w:rsid w:val="00C171FC"/>
    <w:rsid w:val="00C20AC5"/>
    <w:rsid w:val="00C24EB3"/>
    <w:rsid w:val="00C32C91"/>
    <w:rsid w:val="00C37A8A"/>
    <w:rsid w:val="00C463AE"/>
    <w:rsid w:val="00C5073F"/>
    <w:rsid w:val="00C52D24"/>
    <w:rsid w:val="00C53E80"/>
    <w:rsid w:val="00C56C1B"/>
    <w:rsid w:val="00C64F80"/>
    <w:rsid w:val="00C70632"/>
    <w:rsid w:val="00C74A2F"/>
    <w:rsid w:val="00C758CF"/>
    <w:rsid w:val="00C80929"/>
    <w:rsid w:val="00C82756"/>
    <w:rsid w:val="00C86DE1"/>
    <w:rsid w:val="00C92A7B"/>
    <w:rsid w:val="00CA1023"/>
    <w:rsid w:val="00CA2404"/>
    <w:rsid w:val="00CA4D2A"/>
    <w:rsid w:val="00CA7FE2"/>
    <w:rsid w:val="00CB1ED2"/>
    <w:rsid w:val="00CB77CC"/>
    <w:rsid w:val="00CC59C3"/>
    <w:rsid w:val="00CD0A5C"/>
    <w:rsid w:val="00CD0E97"/>
    <w:rsid w:val="00CD21CA"/>
    <w:rsid w:val="00CD74D2"/>
    <w:rsid w:val="00CD7BAF"/>
    <w:rsid w:val="00CE3631"/>
    <w:rsid w:val="00CE56BF"/>
    <w:rsid w:val="00CF20D9"/>
    <w:rsid w:val="00CF2A6C"/>
    <w:rsid w:val="00CF4F5E"/>
    <w:rsid w:val="00CF5BD7"/>
    <w:rsid w:val="00D04235"/>
    <w:rsid w:val="00D05097"/>
    <w:rsid w:val="00D06BC1"/>
    <w:rsid w:val="00D11B20"/>
    <w:rsid w:val="00D11D63"/>
    <w:rsid w:val="00D1384E"/>
    <w:rsid w:val="00D13FA7"/>
    <w:rsid w:val="00D15FDD"/>
    <w:rsid w:val="00D30CFA"/>
    <w:rsid w:val="00D33418"/>
    <w:rsid w:val="00D34588"/>
    <w:rsid w:val="00D409D7"/>
    <w:rsid w:val="00D53210"/>
    <w:rsid w:val="00D53F41"/>
    <w:rsid w:val="00D54EFE"/>
    <w:rsid w:val="00D56CBF"/>
    <w:rsid w:val="00D576F5"/>
    <w:rsid w:val="00D67258"/>
    <w:rsid w:val="00D70E12"/>
    <w:rsid w:val="00D72F19"/>
    <w:rsid w:val="00D84CD0"/>
    <w:rsid w:val="00D86516"/>
    <w:rsid w:val="00D907A3"/>
    <w:rsid w:val="00D911D5"/>
    <w:rsid w:val="00D92775"/>
    <w:rsid w:val="00D9603D"/>
    <w:rsid w:val="00DA42F2"/>
    <w:rsid w:val="00DA5B63"/>
    <w:rsid w:val="00DA6646"/>
    <w:rsid w:val="00DA76EF"/>
    <w:rsid w:val="00DB05C8"/>
    <w:rsid w:val="00DB1418"/>
    <w:rsid w:val="00DB1C70"/>
    <w:rsid w:val="00DB5E14"/>
    <w:rsid w:val="00DC0BEB"/>
    <w:rsid w:val="00DC6B40"/>
    <w:rsid w:val="00DD061F"/>
    <w:rsid w:val="00DD3051"/>
    <w:rsid w:val="00DD4735"/>
    <w:rsid w:val="00DD6140"/>
    <w:rsid w:val="00DE0556"/>
    <w:rsid w:val="00DE62AB"/>
    <w:rsid w:val="00DF0041"/>
    <w:rsid w:val="00DF575B"/>
    <w:rsid w:val="00E0169B"/>
    <w:rsid w:val="00E141DD"/>
    <w:rsid w:val="00E16C47"/>
    <w:rsid w:val="00E17A6E"/>
    <w:rsid w:val="00E204A2"/>
    <w:rsid w:val="00E22021"/>
    <w:rsid w:val="00E24B4A"/>
    <w:rsid w:val="00E32A33"/>
    <w:rsid w:val="00E422C5"/>
    <w:rsid w:val="00E42B6A"/>
    <w:rsid w:val="00E436DB"/>
    <w:rsid w:val="00E54CDC"/>
    <w:rsid w:val="00E554A0"/>
    <w:rsid w:val="00E56599"/>
    <w:rsid w:val="00E56D48"/>
    <w:rsid w:val="00E74CA5"/>
    <w:rsid w:val="00E75058"/>
    <w:rsid w:val="00E767D6"/>
    <w:rsid w:val="00E84089"/>
    <w:rsid w:val="00E8674E"/>
    <w:rsid w:val="00E874AD"/>
    <w:rsid w:val="00E94023"/>
    <w:rsid w:val="00E95BF0"/>
    <w:rsid w:val="00EA1D83"/>
    <w:rsid w:val="00EB1172"/>
    <w:rsid w:val="00EB21ED"/>
    <w:rsid w:val="00EC6116"/>
    <w:rsid w:val="00EC664A"/>
    <w:rsid w:val="00EC74E4"/>
    <w:rsid w:val="00ED39B5"/>
    <w:rsid w:val="00ED5C86"/>
    <w:rsid w:val="00EE0329"/>
    <w:rsid w:val="00EE0FB9"/>
    <w:rsid w:val="00EE56E8"/>
    <w:rsid w:val="00EF0412"/>
    <w:rsid w:val="00EF229D"/>
    <w:rsid w:val="00EF253D"/>
    <w:rsid w:val="00EF27B1"/>
    <w:rsid w:val="00EF5937"/>
    <w:rsid w:val="00EF7132"/>
    <w:rsid w:val="00F01405"/>
    <w:rsid w:val="00F0626C"/>
    <w:rsid w:val="00F06E3B"/>
    <w:rsid w:val="00F120A7"/>
    <w:rsid w:val="00F13D9D"/>
    <w:rsid w:val="00F15DC9"/>
    <w:rsid w:val="00F220E0"/>
    <w:rsid w:val="00F22AAF"/>
    <w:rsid w:val="00F24192"/>
    <w:rsid w:val="00F27D22"/>
    <w:rsid w:val="00F30BD9"/>
    <w:rsid w:val="00F35860"/>
    <w:rsid w:val="00F36441"/>
    <w:rsid w:val="00F376FB"/>
    <w:rsid w:val="00F40061"/>
    <w:rsid w:val="00F404B6"/>
    <w:rsid w:val="00F40F74"/>
    <w:rsid w:val="00F44730"/>
    <w:rsid w:val="00F45A3B"/>
    <w:rsid w:val="00F56D2F"/>
    <w:rsid w:val="00F615D0"/>
    <w:rsid w:val="00F616D4"/>
    <w:rsid w:val="00F63F00"/>
    <w:rsid w:val="00F642E9"/>
    <w:rsid w:val="00F66BAF"/>
    <w:rsid w:val="00F66BEC"/>
    <w:rsid w:val="00F74493"/>
    <w:rsid w:val="00F833CE"/>
    <w:rsid w:val="00F8690E"/>
    <w:rsid w:val="00F9208D"/>
    <w:rsid w:val="00F94D4A"/>
    <w:rsid w:val="00FA167B"/>
    <w:rsid w:val="00FA17A6"/>
    <w:rsid w:val="00FB046A"/>
    <w:rsid w:val="00FB0BF8"/>
    <w:rsid w:val="00FB3B52"/>
    <w:rsid w:val="00FB56A3"/>
    <w:rsid w:val="00FB6768"/>
    <w:rsid w:val="00FB6F0C"/>
    <w:rsid w:val="00FC128B"/>
    <w:rsid w:val="00FC2FB6"/>
    <w:rsid w:val="00FC34DA"/>
    <w:rsid w:val="00FC5AB8"/>
    <w:rsid w:val="00FD0698"/>
    <w:rsid w:val="00FD0BB6"/>
    <w:rsid w:val="00FD128B"/>
    <w:rsid w:val="00FE0939"/>
    <w:rsid w:val="00FE20A9"/>
    <w:rsid w:val="00FF12F3"/>
    <w:rsid w:val="00FF214D"/>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3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styleId="Pieddepage">
    <w:name w:val="footer"/>
    <w:basedOn w:val="Normal"/>
    <w:link w:val="PieddepageCar"/>
    <w:uiPriority w:val="99"/>
    <w:unhideWhenUsed/>
    <w:rsid w:val="00830BD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30BDF"/>
    <w:rPr>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uiPriority w:val="39"/>
    <w:rsid w:val="00310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styleId="Pieddepage">
    <w:name w:val="footer"/>
    <w:basedOn w:val="Normal"/>
    <w:link w:val="PieddepageCar"/>
    <w:uiPriority w:val="99"/>
    <w:unhideWhenUsed/>
    <w:rsid w:val="00830BD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30BDF"/>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4037">
      <w:bodyDiv w:val="1"/>
      <w:marLeft w:val="0"/>
      <w:marRight w:val="0"/>
      <w:marTop w:val="0"/>
      <w:marBottom w:val="0"/>
      <w:divBdr>
        <w:top w:val="none" w:sz="0" w:space="0" w:color="auto"/>
        <w:left w:val="none" w:sz="0" w:space="0" w:color="auto"/>
        <w:bottom w:val="none" w:sz="0" w:space="0" w:color="auto"/>
        <w:right w:val="none" w:sz="0" w:space="0" w:color="auto"/>
      </w:divBdr>
    </w:div>
    <w:div w:id="27417197">
      <w:bodyDiv w:val="1"/>
      <w:marLeft w:val="0"/>
      <w:marRight w:val="0"/>
      <w:marTop w:val="0"/>
      <w:marBottom w:val="0"/>
      <w:divBdr>
        <w:top w:val="none" w:sz="0" w:space="0" w:color="auto"/>
        <w:left w:val="none" w:sz="0" w:space="0" w:color="auto"/>
        <w:bottom w:val="none" w:sz="0" w:space="0" w:color="auto"/>
        <w:right w:val="none" w:sz="0" w:space="0" w:color="auto"/>
      </w:divBdr>
    </w:div>
    <w:div w:id="136260407">
      <w:bodyDiv w:val="1"/>
      <w:marLeft w:val="0"/>
      <w:marRight w:val="0"/>
      <w:marTop w:val="0"/>
      <w:marBottom w:val="0"/>
      <w:divBdr>
        <w:top w:val="none" w:sz="0" w:space="0" w:color="auto"/>
        <w:left w:val="none" w:sz="0" w:space="0" w:color="auto"/>
        <w:bottom w:val="none" w:sz="0" w:space="0" w:color="auto"/>
        <w:right w:val="none" w:sz="0" w:space="0" w:color="auto"/>
      </w:divBdr>
    </w:div>
    <w:div w:id="440342808">
      <w:bodyDiv w:val="1"/>
      <w:marLeft w:val="0"/>
      <w:marRight w:val="0"/>
      <w:marTop w:val="0"/>
      <w:marBottom w:val="0"/>
      <w:divBdr>
        <w:top w:val="none" w:sz="0" w:space="0" w:color="auto"/>
        <w:left w:val="none" w:sz="0" w:space="0" w:color="auto"/>
        <w:bottom w:val="none" w:sz="0" w:space="0" w:color="auto"/>
        <w:right w:val="none" w:sz="0" w:space="0" w:color="auto"/>
      </w:divBdr>
    </w:div>
    <w:div w:id="547188292">
      <w:bodyDiv w:val="1"/>
      <w:marLeft w:val="0"/>
      <w:marRight w:val="0"/>
      <w:marTop w:val="0"/>
      <w:marBottom w:val="0"/>
      <w:divBdr>
        <w:top w:val="none" w:sz="0" w:space="0" w:color="auto"/>
        <w:left w:val="none" w:sz="0" w:space="0" w:color="auto"/>
        <w:bottom w:val="none" w:sz="0" w:space="0" w:color="auto"/>
        <w:right w:val="none" w:sz="0" w:space="0" w:color="auto"/>
      </w:divBdr>
    </w:div>
    <w:div w:id="1051005528">
      <w:bodyDiv w:val="1"/>
      <w:marLeft w:val="0"/>
      <w:marRight w:val="0"/>
      <w:marTop w:val="0"/>
      <w:marBottom w:val="0"/>
      <w:divBdr>
        <w:top w:val="none" w:sz="0" w:space="0" w:color="auto"/>
        <w:left w:val="none" w:sz="0" w:space="0" w:color="auto"/>
        <w:bottom w:val="none" w:sz="0" w:space="0" w:color="auto"/>
        <w:right w:val="none" w:sz="0" w:space="0" w:color="auto"/>
      </w:divBdr>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140684277">
      <w:bodyDiv w:val="1"/>
      <w:marLeft w:val="0"/>
      <w:marRight w:val="0"/>
      <w:marTop w:val="0"/>
      <w:marBottom w:val="0"/>
      <w:divBdr>
        <w:top w:val="none" w:sz="0" w:space="0" w:color="auto"/>
        <w:left w:val="none" w:sz="0" w:space="0" w:color="auto"/>
        <w:bottom w:val="none" w:sz="0" w:space="0" w:color="auto"/>
        <w:right w:val="none" w:sz="0" w:space="0" w:color="auto"/>
      </w:divBdr>
    </w:div>
    <w:div w:id="1241215308">
      <w:bodyDiv w:val="1"/>
      <w:marLeft w:val="0"/>
      <w:marRight w:val="0"/>
      <w:marTop w:val="0"/>
      <w:marBottom w:val="0"/>
      <w:divBdr>
        <w:top w:val="none" w:sz="0" w:space="0" w:color="auto"/>
        <w:left w:val="none" w:sz="0" w:space="0" w:color="auto"/>
        <w:bottom w:val="none" w:sz="0" w:space="0" w:color="auto"/>
        <w:right w:val="none" w:sz="0" w:space="0" w:color="auto"/>
      </w:divBdr>
    </w:div>
    <w:div w:id="1341272122">
      <w:bodyDiv w:val="1"/>
      <w:marLeft w:val="0"/>
      <w:marRight w:val="0"/>
      <w:marTop w:val="0"/>
      <w:marBottom w:val="0"/>
      <w:divBdr>
        <w:top w:val="none" w:sz="0" w:space="0" w:color="auto"/>
        <w:left w:val="none" w:sz="0" w:space="0" w:color="auto"/>
        <w:bottom w:val="none" w:sz="0" w:space="0" w:color="auto"/>
        <w:right w:val="none" w:sz="0" w:space="0" w:color="auto"/>
      </w:divBdr>
    </w:div>
    <w:div w:id="1417165750">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 w:id="1764564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8.bin"/><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oleObject" Target="embeddings/oleObject5.bin"/><Relationship Id="rId32" Type="http://schemas.openxmlformats.org/officeDocument/2006/relationships/image" Target="media/image13.wmf"/><Relationship Id="rId37" Type="http://schemas.openxmlformats.org/officeDocument/2006/relationships/header" Target="header2.xml"/><Relationship Id="rId40" Type="http://schemas.openxmlformats.org/officeDocument/2006/relationships/header" Target="header3.xm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hyperlink" Target="http://www.3gpp.org/DynaReport/GanttChart-Level-2.htm" TargetMode="External"/><Relationship Id="rId19" Type="http://schemas.openxmlformats.org/officeDocument/2006/relationships/oleObject" Target="embeddings/oleObject2.bin"/><Relationship Id="rId31"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hyperlink" Target="http://www.baidu.com/link?url=a_XpuXvum5I6JIX6BJwP70wh5ivnOGUx3Y8ywSGhO6EkdQW_zWRvybLHudFeVpfmAnuPNyJDxyPQslVBKUGax885oT8zGrg0dolkvZA3SoC"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1.png"/><Relationship Id="rId35" Type="http://schemas.openxmlformats.org/officeDocument/2006/relationships/image" Target="media/image15.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EEDF6-3DFD-463D-A38C-217E57B0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5119</Words>
  <Characters>29181</Characters>
  <Application>Microsoft Office Word</Application>
  <DocSecurity>0</DocSecurity>
  <Lines>243</Lines>
  <Paragraphs>68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Echostar</Company>
  <LinksUpToDate>false</LinksUpToDate>
  <CharactersWithSpaces>34232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Nicolas</cp:lastModifiedBy>
  <cp:revision>2</cp:revision>
  <cp:lastPrinted>2018-05-17T14:10:00Z</cp:lastPrinted>
  <dcterms:created xsi:type="dcterms:W3CDTF">2018-06-04T06:37:00Z</dcterms:created>
  <dcterms:modified xsi:type="dcterms:W3CDTF">2018-06-04T06:37:00Z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